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240"/>
        <w:rPr>
          <w:rStyle w:val="Ninguno"/>
          <w:sz w:val="28"/>
          <w:szCs w:val="28"/>
        </w:rPr>
      </w:pP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19 agentes tur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í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sticos de la comarca renuevan su adhesi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ó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n al C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ó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 xml:space="preserve">digo 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É</w:t>
      </w:r>
      <w:r>
        <w:rPr>
          <w:rStyle w:val="Ninguno"/>
          <w:b w:val="1"/>
          <w:bCs w:val="1"/>
          <w:sz w:val="36"/>
          <w:szCs w:val="36"/>
          <w:rtl w:val="0"/>
          <w:lang w:val="es-ES_tradnl"/>
        </w:rPr>
        <w:t>tico del Turismo de Euskadi</w:t>
      </w:r>
    </w:p>
    <w:p>
      <w:pPr>
        <w:pStyle w:val="Cuerpo A"/>
        <w:spacing w:after="120"/>
      </w:pPr>
    </w:p>
    <w:p>
      <w:pPr>
        <w:pStyle w:val="Cuerpo A"/>
        <w:spacing w:after="120"/>
        <w:rPr>
          <w:rStyle w:val="Ninguno"/>
        </w:rPr>
      </w:pPr>
      <w:r>
        <w:rPr>
          <w:rtl w:val="0"/>
          <w:lang w:val="es-ES_tradnl"/>
        </w:rPr>
        <w:t>Irun, 20 de octubre de 2023</w:t>
      </w:r>
      <w:r>
        <w:rPr>
          <w:rtl w:val="0"/>
          <w:lang w:val="es-ES_tradnl"/>
        </w:rPr>
        <w:t xml:space="preserve">.- </w:t>
      </w:r>
      <w:r>
        <w:rPr>
          <w:rStyle w:val="Ninguno"/>
          <w:b w:val="1"/>
          <w:bCs w:val="1"/>
          <w:rtl w:val="0"/>
          <w:lang w:val="es-ES_tradnl"/>
        </w:rPr>
        <w:t xml:space="preserve">Los </w:t>
      </w:r>
      <w:r>
        <w:rPr>
          <w:rStyle w:val="Ninguno"/>
          <w:b w:val="1"/>
          <w:bCs w:val="1"/>
          <w:rtl w:val="0"/>
          <w:lang w:val="es-ES_tradnl"/>
        </w:rPr>
        <w:t>a</w:t>
      </w:r>
      <w:r>
        <w:rPr>
          <w:rStyle w:val="Ninguno"/>
          <w:b w:val="1"/>
          <w:bCs w:val="1"/>
          <w:rtl w:val="0"/>
          <w:lang w:val="es-ES_tradnl"/>
        </w:rPr>
        <w:t>yuntamientos de Irun y Hondarribia, a trav</w:t>
      </w:r>
      <w:r>
        <w:rPr>
          <w:rStyle w:val="Ninguno"/>
          <w:b w:val="1"/>
          <w:bCs w:val="1"/>
          <w:rtl w:val="0"/>
          <w:lang w:val="es-ES_tradnl"/>
        </w:rPr>
        <w:t>é</w:t>
      </w:r>
      <w:r>
        <w:rPr>
          <w:rStyle w:val="Ninguno"/>
          <w:b w:val="1"/>
          <w:bCs w:val="1"/>
          <w:rtl w:val="0"/>
          <w:lang w:val="es-ES_tradnl"/>
        </w:rPr>
        <w:t xml:space="preserve">s de Bidasoa activa, </w:t>
      </w:r>
      <w:r>
        <w:rPr>
          <w:rStyle w:val="Ninguno"/>
          <w:b w:val="1"/>
          <w:bCs w:val="1"/>
          <w:rtl w:val="0"/>
          <w:lang w:val="es-ES_tradnl"/>
        </w:rPr>
        <w:t>han entregado hoy a 19</w:t>
      </w:r>
      <w:r>
        <w:rPr>
          <w:rStyle w:val="Ninguno"/>
          <w:b w:val="1"/>
          <w:bCs w:val="1"/>
          <w:rtl w:val="0"/>
          <w:lang w:val="es-ES_tradnl"/>
        </w:rPr>
        <w:t xml:space="preserve"> agentes tur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 xml:space="preserve">sticos de la comarca un </w:t>
      </w:r>
      <w:r>
        <w:rPr>
          <w:rStyle w:val="Ninguno"/>
          <w:b w:val="1"/>
          <w:bCs w:val="1"/>
          <w:rtl w:val="0"/>
          <w:lang w:val="es-ES_tradnl"/>
        </w:rPr>
        <w:t>certificado que reconoce su adhesi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</w:t>
      </w:r>
      <w:r>
        <w:rPr>
          <w:rStyle w:val="Ninguno"/>
          <w:b w:val="1"/>
          <w:bCs w:val="1"/>
          <w:rtl w:val="0"/>
          <w:lang w:val="es-ES_tradnl"/>
        </w:rPr>
        <w:t xml:space="preserve"> al C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 xml:space="preserve">digo </w:t>
      </w:r>
      <w:r>
        <w:rPr>
          <w:rStyle w:val="Ninguno"/>
          <w:b w:val="1"/>
          <w:bCs w:val="1"/>
          <w:rtl w:val="0"/>
          <w:lang w:val="es-ES_tradnl"/>
        </w:rPr>
        <w:t>É</w:t>
      </w:r>
      <w:r>
        <w:rPr>
          <w:rStyle w:val="Ninguno"/>
          <w:b w:val="1"/>
          <w:bCs w:val="1"/>
          <w:rtl w:val="0"/>
          <w:lang w:val="es-ES_tradnl"/>
        </w:rPr>
        <w:t xml:space="preserve">tico del Turismo </w:t>
      </w:r>
      <w:r>
        <w:rPr>
          <w:rStyle w:val="Ninguno"/>
          <w:b w:val="1"/>
          <w:bCs w:val="1"/>
          <w:rtl w:val="0"/>
          <w:lang w:val="es-ES_tradnl"/>
        </w:rPr>
        <w:t>de Euskadi</w:t>
      </w:r>
      <w:r>
        <w:rPr>
          <w:rStyle w:val="Ninguno"/>
          <w:b w:val="1"/>
          <w:bCs w:val="1"/>
          <w:rtl w:val="0"/>
          <w:lang w:val="es-ES_tradnl"/>
        </w:rPr>
        <w:t xml:space="preserve">, elaborado por Basquetour, la Agencia Vasca del Turismo. </w:t>
      </w:r>
      <w:r>
        <w:rPr>
          <w:rStyle w:val="Ninguno"/>
          <w:b w:val="1"/>
          <w:bCs w:val="1"/>
          <w:rtl w:val="0"/>
          <w:lang w:val="es-ES_tradnl"/>
        </w:rPr>
        <w:t>El objetivo de esta iniciativa es contribuir al desarrollo de un modelo de turismo responsable y sostenible.</w:t>
      </w:r>
      <w:r>
        <w:rPr>
          <w:rStyle w:val="Ninguno"/>
          <w:rtl w:val="0"/>
          <w:lang w:val="es-ES_tradnl"/>
        </w:rPr>
        <w:t xml:space="preserve"> </w:t>
      </w:r>
    </w:p>
    <w:p>
      <w:pPr>
        <w:pStyle w:val="Cuerpo A"/>
        <w:spacing w:after="120"/>
        <w:rPr>
          <w:rStyle w:val="Ninguno"/>
        </w:rPr>
      </w:pPr>
      <w:r>
        <w:rPr>
          <w:rStyle w:val="Ninguno"/>
          <w:rtl w:val="0"/>
          <w:lang w:val="es-ES_tradnl"/>
        </w:rPr>
        <w:t>El acto de entrega de estos reconocimientos ha tenido lugar este mediod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 en el hotel Villa Magalean de Hondarribia con asistencia de representantes de las organizaciones que han seguido trabajando a lo largo del 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 xml:space="preserve">o para renovar su compromiso con esta iniciativa. Junto a ellos han acudido el presidente de Bidasoa activa, Miguel 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ngel P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ez y la vicepresidenta, Estitxu Urtizberea.</w:t>
      </w:r>
    </w:p>
    <w:p>
      <w:pPr>
        <w:pStyle w:val="Cuerpo A"/>
        <w:spacing w:after="120"/>
        <w:rPr>
          <w:rStyle w:val="Ninguno"/>
        </w:rPr>
      </w:pPr>
      <w:r>
        <w:rPr>
          <w:rStyle w:val="Ninguno"/>
          <w:rtl w:val="0"/>
          <w:lang w:val="es-ES_tradnl"/>
        </w:rPr>
        <w:t>En su intervenci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P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 xml:space="preserve">ez ha subrayado </w:t>
      </w:r>
      <w:r>
        <w:rPr>
          <w:rStyle w:val="Ninguno"/>
          <w:rtl w:val="0"/>
          <w:lang w:val="es-ES_tradnl"/>
        </w:rPr>
        <w:t>“</w:t>
      </w:r>
      <w:r>
        <w:rPr>
          <w:rStyle w:val="Ninguno"/>
          <w:rtl w:val="0"/>
          <w:lang w:val="es-ES_tradnl"/>
        </w:rPr>
        <w:t>el compromiso de los agentes tur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sticos de la comarca con la calidad y </w:t>
      </w:r>
      <w:r>
        <w:rPr>
          <w:rStyle w:val="Ninguno"/>
          <w:rtl w:val="0"/>
          <w:lang w:val="es-ES_tradnl"/>
        </w:rPr>
        <w:t>las buenas pr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cticas</w:t>
      </w:r>
      <w:r>
        <w:rPr>
          <w:rStyle w:val="Ninguno"/>
          <w:rtl w:val="0"/>
          <w:lang w:val="es-ES_tradnl"/>
        </w:rPr>
        <w:t xml:space="preserve"> que reflejan</w:t>
      </w:r>
      <w:r>
        <w:rPr>
          <w:rStyle w:val="Ninguno"/>
          <w:rtl w:val="0"/>
          <w:lang w:val="es-ES_tradnl"/>
        </w:rPr>
        <w:t xml:space="preserve"> una apuesta compartida</w:t>
      </w:r>
      <w:r>
        <w:rPr>
          <w:rStyle w:val="Ninguno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 xml:space="preserve">por </w:t>
      </w:r>
      <w:r>
        <w:rPr>
          <w:rStyle w:val="Ninguno"/>
          <w:rtl w:val="0"/>
          <w:lang w:val="es-ES_tradnl"/>
        </w:rPr>
        <w:t>un modelo de turismo sostenible que beneficie tanto a las personas que nos visitan cada 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 como a quienes vivimos en esta comarca</w:t>
      </w:r>
      <w:r>
        <w:rPr>
          <w:rStyle w:val="Ninguno"/>
          <w:rtl w:val="0"/>
          <w:lang w:val="es-ES_tradnl"/>
        </w:rPr>
        <w:t>”</w:t>
      </w:r>
      <w:r>
        <w:rPr>
          <w:rStyle w:val="Ninguno"/>
          <w:rtl w:val="0"/>
          <w:lang w:val="es-ES_tradnl"/>
        </w:rPr>
        <w:t>. En este sentido ha 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 xml:space="preserve">adido que </w:t>
      </w:r>
      <w:r>
        <w:rPr>
          <w:rStyle w:val="Ninguno"/>
          <w:rtl w:val="0"/>
          <w:lang w:val="es-ES_tradnl"/>
        </w:rPr>
        <w:t>“</w:t>
      </w:r>
      <w:r>
        <w:rPr>
          <w:rStyle w:val="Ninguno"/>
          <w:rtl w:val="0"/>
          <w:lang w:val="es-ES_tradnl"/>
        </w:rPr>
        <w:t xml:space="preserve">debemos felicitar a estos </w:t>
      </w:r>
      <w:r>
        <w:rPr>
          <w:rStyle w:val="Ninguno"/>
          <w:rtl w:val="0"/>
          <w:lang w:val="es-ES_tradnl"/>
        </w:rPr>
        <w:t xml:space="preserve"> agentes tur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 xml:space="preserve">sticos que han demostrado su compromiso con </w:t>
      </w:r>
      <w:r>
        <w:rPr>
          <w:rStyle w:val="Ninguno"/>
          <w:rtl w:val="0"/>
          <w:lang w:val="es-ES_tradnl"/>
        </w:rPr>
        <w:t>el impulso de una manera de entender el turismo que aporte 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 beneficios a la comunidad</w:t>
      </w:r>
      <w:r>
        <w:rPr>
          <w:rStyle w:val="Ninguno"/>
          <w:rtl w:val="0"/>
          <w:lang w:val="es-ES_tradnl"/>
        </w:rPr>
        <w:t>”</w:t>
      </w:r>
      <w:r>
        <w:rPr>
          <w:rStyle w:val="Ninguno"/>
          <w:rtl w:val="0"/>
          <w:lang w:val="es-ES_tradnl"/>
        </w:rPr>
        <w:t>.</w:t>
      </w:r>
    </w:p>
    <w:p>
      <w:pPr>
        <w:pStyle w:val="Cuerpo A"/>
        <w:spacing w:after="120"/>
        <w:rPr>
          <w:rStyle w:val="Ninguno"/>
        </w:rPr>
      </w:pPr>
      <w:r>
        <w:rPr>
          <w:rStyle w:val="Ninguno"/>
          <w:rtl w:val="0"/>
          <w:lang w:val="es-ES_tradnl"/>
        </w:rPr>
        <w:t>Por su parte, Estitxu Urtizberea ha se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 xml:space="preserve">alado que </w:t>
      </w:r>
      <w:r>
        <w:rPr>
          <w:rStyle w:val="Ninguno"/>
          <w:rtl w:val="0"/>
          <w:lang w:val="es-ES_tradnl"/>
        </w:rPr>
        <w:t>“</w:t>
      </w:r>
      <w:r>
        <w:rPr>
          <w:rStyle w:val="Ninguno"/>
          <w:rtl w:val="0"/>
          <w:lang w:val="es-ES_tradnl"/>
        </w:rPr>
        <w:t>el objetivo es fomentar el turismo rural y sostenible en la comarca, tanto para los que nos visitan como para los que viven en ella</w:t>
      </w:r>
      <w:r>
        <w:rPr>
          <w:rStyle w:val="Ninguno"/>
          <w:rtl w:val="0"/>
          <w:lang w:val="es-ES_tradnl"/>
        </w:rPr>
        <w:t>”</w:t>
      </w:r>
      <w:r>
        <w:rPr>
          <w:rStyle w:val="Ninguno"/>
          <w:rtl w:val="0"/>
          <w:lang w:val="es-ES_tradnl"/>
        </w:rPr>
        <w:t>.</w:t>
      </w:r>
    </w:p>
    <w:p>
      <w:pPr>
        <w:pStyle w:val="Cuerpo A"/>
        <w:spacing w:after="120"/>
      </w:pPr>
      <w:r>
        <w:rPr>
          <w:rtl w:val="0"/>
          <w:lang w:val="es-ES_tradnl"/>
        </w:rPr>
        <w:t>El papel de</w:t>
      </w:r>
      <w:r>
        <w:rPr>
          <w:rtl w:val="0"/>
          <w:lang w:val="es-ES_tradnl"/>
        </w:rPr>
        <w:t xml:space="preserve"> Bidasoa activa </w:t>
      </w:r>
      <w:r>
        <w:rPr>
          <w:rtl w:val="0"/>
          <w:lang w:val="es-ES_tradnl"/>
        </w:rPr>
        <w:t>en esta iniciativa es contribuir</w:t>
      </w:r>
      <w:r>
        <w:rPr>
          <w:rtl w:val="0"/>
          <w:lang w:val="es-ES_tradnl"/>
        </w:rPr>
        <w:t xml:space="preserve"> a</w:t>
      </w:r>
      <w:r>
        <w:rPr>
          <w:rtl w:val="0"/>
          <w:lang w:val="es-ES_tradnl"/>
        </w:rPr>
        <w:t xml:space="preserve">l desarrollo de </w:t>
      </w:r>
      <w:r>
        <w:rPr>
          <w:rtl w:val="0"/>
          <w:lang w:val="es-ES_tradnl"/>
        </w:rPr>
        <w:t>una industria tur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stica </w:t>
      </w:r>
      <w:r>
        <w:rPr>
          <w:rtl w:val="0"/>
          <w:lang w:val="es-ES_tradnl"/>
        </w:rPr>
        <w:t xml:space="preserve"> competitiva, </w:t>
      </w:r>
      <w:r>
        <w:rPr>
          <w:rtl w:val="0"/>
          <w:lang w:val="es-ES_tradnl"/>
        </w:rPr>
        <w:t>responsable y sostenible</w:t>
      </w:r>
      <w:r>
        <w:rPr>
          <w:rtl w:val="0"/>
          <w:lang w:val="es-ES_tradnl"/>
        </w:rPr>
        <w:t xml:space="preserve">, impulsando que los agentes implicados en este proceso apliquen los compromisos adquiridos </w:t>
      </w:r>
      <w:r>
        <w:rPr>
          <w:rtl w:val="0"/>
          <w:lang w:val="es-ES_tradnl"/>
        </w:rPr>
        <w:t>en su pr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ctica diaria.</w:t>
      </w:r>
    </w:p>
    <w:p>
      <w:pPr>
        <w:pStyle w:val="Cuerpo A"/>
        <w:spacing w:after="120"/>
        <w:rPr>
          <w:rStyle w:val="Ninguno"/>
        </w:rPr>
      </w:pPr>
    </w:p>
    <w:p>
      <w:pPr>
        <w:pStyle w:val="Cuerpo A"/>
        <w:spacing w:after="120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Protagonistas</w:t>
      </w:r>
    </w:p>
    <w:p>
      <w:pPr>
        <w:pStyle w:val="Cuerpo A"/>
        <w:spacing w:after="120"/>
      </w:pPr>
      <w:r>
        <w:rPr>
          <w:rtl w:val="0"/>
          <w:lang w:val="es-ES_tradnl"/>
        </w:rPr>
        <w:t>Las empresas participantes que han recibido este distintivo de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digo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tico son </w:t>
      </w:r>
      <w:r>
        <w:rPr>
          <w:rtl w:val="0"/>
          <w:lang w:val="es-ES_tradnl"/>
        </w:rPr>
        <w:t>Villa Magalean Hotel &amp; Spa, Bidatour, Ekoetxea Txingudi, Parking Jaizubia, Marei Azafatas, Iketetxe landa etxea, Navegavela, Jolaski, Conservas Hondarribia, Restaurante Atalaia, el Museo Oiasso, el Hotel ETH Irun, Hotel Atalaia, Hotel Jauregui, Pensi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Europa, Hotel Aitana, Feel Basque Country, Kayak Basque Country y Agroturismo Goiznabar y la propia agencia Bidasoa activa</w:t>
      </w:r>
    </w:p>
    <w:p>
      <w:pPr>
        <w:pStyle w:val="Cuerpo A"/>
        <w:spacing w:after="120"/>
      </w:pPr>
      <w:r>
        <w:rPr>
          <w:rtl w:val="0"/>
          <w:lang w:val="es-ES_tradnl"/>
        </w:rPr>
        <w:t xml:space="preserve">Todas ellas </w:t>
      </w:r>
      <w:r>
        <w:rPr>
          <w:rtl w:val="0"/>
          <w:lang w:val="es-ES_tradnl"/>
        </w:rPr>
        <w:t xml:space="preserve">han </w:t>
      </w:r>
      <w:r>
        <w:rPr>
          <w:rtl w:val="0"/>
          <w:lang w:val="es-ES_tradnl"/>
        </w:rPr>
        <w:t xml:space="preserve">seguido avanzando en </w:t>
      </w:r>
      <w:r>
        <w:rPr>
          <w:rtl w:val="0"/>
          <w:lang w:val="es-ES_tradnl"/>
        </w:rPr>
        <w:t>el itinerario formativo y de compromisos que conforma el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digo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tico de Euskadi</w:t>
      </w:r>
      <w:r>
        <w:rPr>
          <w:rtl w:val="0"/>
          <w:lang w:val="es-ES_tradnl"/>
        </w:rPr>
        <w:t xml:space="preserve"> y han </w:t>
      </w:r>
      <w:r>
        <w:rPr>
          <w:rtl w:val="0"/>
          <w:lang w:val="es-ES_tradnl"/>
        </w:rPr>
        <w:t xml:space="preserve">participado en </w:t>
      </w:r>
      <w:r>
        <w:rPr>
          <w:rtl w:val="0"/>
          <w:lang w:val="es-ES_tradnl"/>
        </w:rPr>
        <w:t>diversas sesiones de</w:t>
      </w:r>
      <w:r>
        <w:rPr>
          <w:rtl w:val="0"/>
          <w:lang w:val="es-ES_tradnl"/>
        </w:rPr>
        <w:t xml:space="preserve"> sensibilizaci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</w:t>
      </w:r>
      <w:r>
        <w:rPr>
          <w:rtl w:val="0"/>
          <w:lang w:val="es-ES_tradnl"/>
        </w:rPr>
        <w:t xml:space="preserve">, </w:t>
      </w:r>
      <w:r>
        <w:rPr>
          <w:rtl w:val="0"/>
          <w:lang w:val="es-ES_tradnl"/>
        </w:rPr>
        <w:t>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asistencia 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cnica para </w:t>
      </w:r>
      <w:r>
        <w:rPr>
          <w:rtl w:val="0"/>
          <w:lang w:val="es-ES_tradnl"/>
        </w:rPr>
        <w:t>obtener</w:t>
      </w:r>
      <w:r>
        <w:rPr>
          <w:rtl w:val="0"/>
          <w:lang w:val="es-ES_tradnl"/>
        </w:rPr>
        <w:t xml:space="preserve"> la acreditaci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final</w:t>
      </w:r>
      <w:r>
        <w:rPr>
          <w:rtl w:val="0"/>
          <w:lang w:val="es-ES_tradnl"/>
        </w:rPr>
        <w:t xml:space="preserve"> y el distintivo que les reconoce como organizaciones adheridas al </w:t>
      </w:r>
      <w:r>
        <w:rPr>
          <w:rtl w:val="0"/>
          <w:lang w:val="es-ES_tradnl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digo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tico del Turismo Vasco. </w:t>
      </w:r>
      <w:r>
        <w:rPr>
          <w:rtl w:val="0"/>
          <w:lang w:val="es-ES_tradnl"/>
        </w:rPr>
        <w:t>Adem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s, </w:t>
      </w:r>
      <w:r>
        <w:rPr>
          <w:rtl w:val="0"/>
          <w:lang w:val="es-ES_tradnl"/>
        </w:rPr>
        <w:t>forman parte del</w:t>
      </w:r>
      <w:r>
        <w:rPr>
          <w:rtl w:val="0"/>
          <w:lang w:val="es-ES_tradnl"/>
        </w:rPr>
        <w:t> </w:t>
      </w:r>
      <w:r>
        <w:rPr>
          <w:rtl w:val="0"/>
          <w:lang w:val="es-ES_tradnl"/>
        </w:rPr>
        <w:t xml:space="preserve">Registro de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tica Tur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stica de Euskadi</w:t>
      </w:r>
      <w:r>
        <w:rPr>
          <w:rtl w:val="0"/>
          <w:lang w:val="es-ES_tradnl"/>
        </w:rPr>
        <w:t>.</w:t>
      </w:r>
    </w:p>
    <w:p>
      <w:pPr>
        <w:pStyle w:val="Cuerpo A"/>
        <w:spacing w:after="120"/>
      </w:pPr>
      <w:r>
        <w:rPr>
          <w:rtl w:val="0"/>
          <w:lang w:val="es-ES_tradnl"/>
        </w:rPr>
        <w:t xml:space="preserve">Caroline </w:t>
      </w:r>
      <w:r>
        <w:rPr>
          <w:rtl w:val="0"/>
          <w:lang w:val="es-ES_tradnl"/>
        </w:rPr>
        <w:t>Brousse</w:t>
      </w:r>
      <w:r>
        <w:rPr>
          <w:rtl w:val="0"/>
          <w:lang w:val="es-ES_tradnl"/>
        </w:rPr>
        <w:t xml:space="preserve">, directora del hotel Villa Magalean opina que </w:t>
      </w:r>
      <w:r>
        <w:rPr>
          <w:rtl w:val="0"/>
          <w:lang w:val="es-ES_tradnl"/>
        </w:rPr>
        <w:t>“</w:t>
      </w:r>
      <w:r>
        <w:rPr>
          <w:rtl w:val="0"/>
          <w:lang w:val="es-ES_tradnl"/>
        </w:rPr>
        <w:t>n</w:t>
      </w:r>
      <w:r>
        <w:rPr>
          <w:rtl w:val="0"/>
          <w:lang w:val="es-ES_tradnl"/>
        </w:rPr>
        <w:t>uestro compromiso con el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digo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tico forma parte de la cultura organizacional del hotel, basada en el fomento de la confianza en las relaciones personales y profesionales y nuestra apuesta por las pr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cticas sostenibles en todos los 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mbitos. En este contexto, el equipo de Villa Magalean trabaja en la mejora continua de sus protocolos y servicios para ser un referente de eco-responsabilidad. Invitamos a las personas y organizaciones a adoptar este compromiso y respeto por la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tica que conlleva beneficios y bienestar no solo para quien lo practica sino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para la sociedad y el entorno</w:t>
      </w:r>
      <w:r>
        <w:rPr>
          <w:rtl w:val="0"/>
          <w:lang w:val="es-ES_tradnl"/>
        </w:rPr>
        <w:t>”</w:t>
      </w:r>
      <w:r>
        <w:rPr>
          <w:rtl w:val="0"/>
          <w:lang w:val="es-ES_tradnl"/>
        </w:rPr>
        <w:t xml:space="preserve">. </w:t>
      </w:r>
      <w:r>
        <w:rPr>
          <w:rtl w:val="0"/>
          <w:lang w:val="es-ES_tradnl"/>
        </w:rPr>
        <w:t> </w:t>
      </w:r>
    </w:p>
    <w:p>
      <w:pPr>
        <w:pStyle w:val="Cuerpo A"/>
        <w:spacing w:after="120"/>
      </w:pPr>
      <w:r>
        <w:rPr>
          <w:rtl w:val="0"/>
          <w:lang w:val="es-ES_tradnl"/>
        </w:rPr>
        <w:t>Por su parte, Juanjo Jim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nez, director del Museo Oiasso considera que participar en este proceso es algo muy positivo. </w:t>
      </w:r>
      <w:r>
        <w:rPr>
          <w:rtl w:val="0"/>
          <w:lang w:val="es-ES_tradnl"/>
        </w:rPr>
        <w:t>“</w:t>
      </w:r>
      <w:r>
        <w:rPr>
          <w:rtl w:val="0"/>
          <w:lang w:val="es-ES_tradnl"/>
        </w:rPr>
        <w:t>Estamos implicados desde hace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y para nosotros es un proceso que nos ayuda a mejorar tanto en nuestro trabajo como en los servicios que ofrecemos en el 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a 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en el desarrollo de nuevas actividades. Pero adem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s, nos permite estar en contacto con otros agentes, ver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hacen la cosas y aprender</w:t>
      </w:r>
      <w:r>
        <w:rPr>
          <w:rtl w:val="0"/>
          <w:lang w:val="es-ES_tradnl"/>
        </w:rPr>
        <w:t>”</w:t>
      </w:r>
      <w:r>
        <w:rPr>
          <w:rtl w:val="0"/>
          <w:lang w:val="es-ES_tradnl"/>
        </w:rPr>
        <w:t>.</w:t>
      </w:r>
    </w:p>
    <w:p>
      <w:pPr>
        <w:pStyle w:val="Cuerpo A"/>
        <w:spacing w:after="120"/>
      </w:pPr>
    </w:p>
    <w:p>
      <w:pPr>
        <w:pStyle w:val="Cuerpo A"/>
        <w:spacing w:after="120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Principios b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sicos del C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digo </w:t>
      </w:r>
      <w:r>
        <w:rPr>
          <w:b w:val="1"/>
          <w:bCs w:val="1"/>
          <w:rtl w:val="0"/>
          <w:lang w:val="es-ES_tradnl"/>
        </w:rPr>
        <w:t>É</w:t>
      </w:r>
      <w:r>
        <w:rPr>
          <w:b w:val="1"/>
          <w:bCs w:val="1"/>
          <w:rtl w:val="0"/>
          <w:lang w:val="es-ES_tradnl"/>
        </w:rPr>
        <w:t>tico</w:t>
      </w:r>
    </w:p>
    <w:p>
      <w:pPr>
        <w:pStyle w:val="Cuerpo A"/>
        <w:spacing w:after="120"/>
      </w:pPr>
      <w:r>
        <w:rPr>
          <w:rtl w:val="0"/>
          <w:lang w:val="es-ES_tradnl"/>
        </w:rPr>
        <w:t>Las entidades tur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sticas asumen con la firma de este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digo un importante compromiso de respeto y preservaci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cultura</w:t>
      </w:r>
      <w:r>
        <w:rPr>
          <w:rtl w:val="0"/>
          <w:lang w:val="es-ES_tradnl"/>
        </w:rPr>
        <w:t>,</w:t>
      </w:r>
      <w:r>
        <w:rPr>
          <w:rtl w:val="0"/>
          <w:lang w:val="es-ES_tradnl"/>
        </w:rPr>
        <w:t xml:space="preserve"> la tradici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local y los elementos de</w:t>
      </w:r>
      <w:r>
        <w:rPr>
          <w:rtl w:val="0"/>
          <w:lang w:val="es-ES_tradnl"/>
        </w:rPr>
        <w:t>l</w:t>
      </w:r>
      <w:r>
        <w:rPr>
          <w:rtl w:val="0"/>
          <w:lang w:val="es-ES_tradnl"/>
        </w:rPr>
        <w:t xml:space="preserve"> patrimonio cultural</w:t>
      </w:r>
      <w:r>
        <w:rPr>
          <w:rtl w:val="0"/>
          <w:lang w:val="es-ES_tradnl"/>
        </w:rPr>
        <w:t xml:space="preserve"> de la comarca, adem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s de </w:t>
      </w:r>
      <w:r>
        <w:rPr>
          <w:rtl w:val="0"/>
          <w:lang w:val="es-ES_tradnl"/>
        </w:rPr>
        <w:t>respetar los derechos de las personas turistas, sus peculiaridades, formas de vida, gustos, expectativas, diversidad de creencias</w:t>
      </w:r>
      <w:r>
        <w:rPr>
          <w:rtl w:val="0"/>
          <w:lang w:val="es-ES_tradnl"/>
        </w:rPr>
        <w:t>, etc.</w:t>
      </w:r>
    </w:p>
    <w:p>
      <w:pPr>
        <w:pStyle w:val="Cuerpo A"/>
        <w:spacing w:after="120"/>
      </w:pPr>
      <w:r>
        <w:rPr>
          <w:rtl w:val="0"/>
          <w:lang w:val="es-ES_tradnl"/>
        </w:rPr>
        <w:t>Por otro lado, el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digo hace hincapi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en que las actividades relacionadas con el turismo</w:t>
      </w:r>
      <w:r>
        <w:rPr>
          <w:rtl w:val="0"/>
          <w:lang w:val="es-ES_tradnl"/>
        </w:rPr>
        <w:t> </w:t>
      </w:r>
      <w:r>
        <w:rPr>
          <w:rtl w:val="0"/>
          <w:lang w:val="es-ES_tradnl"/>
        </w:rPr>
        <w:t>respeten la igualdad de g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nero, la inclusi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la tolerancia</w:t>
      </w:r>
      <w:r>
        <w:rPr>
          <w:rtl w:val="0"/>
          <w:lang w:val="es-ES_tradnl"/>
        </w:rPr>
        <w:t>,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como</w:t>
      </w:r>
      <w:r>
        <w:rPr>
          <w:rtl w:val="0"/>
          <w:lang w:val="es-ES_tradnl"/>
        </w:rPr>
        <w:t xml:space="preserve"> la sostenibilidad medioambiental </w:t>
      </w:r>
      <w:r>
        <w:rPr>
          <w:rtl w:val="0"/>
          <w:lang w:val="es-ES_tradnl"/>
        </w:rPr>
        <w:t>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</w:t>
      </w:r>
      <w:r>
        <w:rPr>
          <w:rtl w:val="0"/>
          <w:lang w:val="es-ES_tradnl"/>
        </w:rPr>
        <w:t xml:space="preserve"> desestacionalizaci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</w:t>
      </w:r>
      <w:r>
        <w:rPr>
          <w:rtl w:val="0"/>
          <w:lang w:val="es-ES_tradnl"/>
        </w:rPr>
        <w:t>y</w:t>
      </w:r>
      <w:r>
        <w:rPr>
          <w:rtl w:val="0"/>
          <w:lang w:val="es-ES_tradnl"/>
        </w:rPr>
        <w:t xml:space="preserve"> el fomento del ecoturismo y el turismo de naturaleza</w:t>
      </w:r>
      <w:r>
        <w:rPr>
          <w:rtl w:val="0"/>
          <w:lang w:val="es-ES_tradnl"/>
        </w:rPr>
        <w:t> </w:t>
      </w:r>
      <w:r>
        <w:rPr>
          <w:rtl w:val="0"/>
          <w:lang w:val="es-ES_tradnl"/>
        </w:rPr>
        <w:t>respetuoso con el patrimonio natural y los ecosistemas.</w:t>
      </w:r>
    </w:p>
    <w:p>
      <w:pPr>
        <w:pStyle w:val="Cuerpo A"/>
        <w:spacing w:after="120"/>
      </w:pPr>
      <w:r>
        <w:rPr>
          <w:rtl w:val="0"/>
          <w:lang w:val="es-ES_tradnl"/>
        </w:rPr>
        <w:t xml:space="preserve">El </w:t>
      </w:r>
      <w:r>
        <w:rPr>
          <w:rtl w:val="0"/>
          <w:lang w:val="es-ES_tradnl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digo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tico del Turismo de Euskadi adapta principios del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digo 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tico mundial de la Organizaci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Mundial del Turismo,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 xml:space="preserve">como los objetivos de Desarrollo Sostenible de la Agenda 2030 de las Naciones Unidas. </w:t>
      </w:r>
    </w:p>
    <w:sectPr>
      <w:headerReference w:type="default" r:id="rId4"/>
      <w:footerReference w:type="default" r:id="rId5"/>
      <w:pgSz w:w="11900" w:h="16840" w:orient="portrait"/>
      <w:pgMar w:top="2520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Thi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715072</wp:posOffset>
          </wp:positionH>
          <wp:positionV relativeFrom="page">
            <wp:posOffset>427776</wp:posOffset>
          </wp:positionV>
          <wp:extent cx="738193" cy="712765"/>
          <wp:effectExtent l="0" t="0" r="0" b="0"/>
          <wp:wrapNone/>
          <wp:docPr id="1073741825" name="officeArt object" descr="Logotipo-Bidasoa-Acti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-Bidasoa-Activa.jpg" descr="Logotipo-Bidasoa-Activa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93" cy="7127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5205321</wp:posOffset>
              </wp:positionH>
              <wp:positionV relativeFrom="page">
                <wp:posOffset>522872</wp:posOffset>
              </wp:positionV>
              <wp:extent cx="1699567" cy="563474"/>
              <wp:effectExtent l="0" t="0" r="0" b="0"/>
              <wp:wrapNone/>
              <wp:docPr id="1073741826" name="officeArt object" descr="Prentsa Oharra • Nota de Prensa • Prentsa Oharra • Nota de Prensa • Prentsa Ohar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9567" cy="56347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Por omisión A"/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  <w:tab w:val="left" w:pos="10620"/>
                              <w:tab w:val="left" w:pos="11328"/>
                              <w:tab w:val="left" w:pos="12036"/>
                              <w:tab w:val="left" w:pos="12744"/>
                              <w:tab w:val="left" w:pos="13452"/>
                              <w:tab w:val="left" w:pos="14160"/>
                              <w:tab w:val="left" w:pos="14868"/>
                            </w:tabs>
                            <w:spacing w:before="0" w:line="240" w:lineRule="auto"/>
                            <w:rPr>
                              <w:rStyle w:val="Ninguno"/>
                              <w:b w:val="1"/>
                              <w:bCs w:val="1"/>
                              <w:spacing w:val="12"/>
                              <w:sz w:val="32"/>
                              <w:szCs w:val="32"/>
                              <w:u w:color="929292"/>
                              <w14:textOutline w14:w="12700" w14:cap="flat">
                                <w14:noFill/>
                                <w14:miter w14:lim="400000"/>
                              </w14:textOutline>
                            </w:rPr>
                          </w:pPr>
                          <w:r>
                            <w:rPr>
                              <w:rStyle w:val="Ninguno"/>
                              <w:b w:val="1"/>
                              <w:bCs w:val="1"/>
                              <w:spacing w:val="12"/>
                              <w:sz w:val="32"/>
                              <w:szCs w:val="32"/>
                              <w:u w:color="929292"/>
                              <w:rtl w:val="0"/>
                              <w:lang w:val="es-ES_tradnl"/>
                              <w14:textOutline w14:w="12700" w14:cap="flat">
                                <w14:noFill/>
                                <w14:miter w14:lim="400000"/>
                              </w14:textOutline>
                            </w:rPr>
                            <w:t>Prentsa Oharra</w:t>
                          </w:r>
                        </w:p>
                        <w:p>
                          <w:pPr>
                            <w:pStyle w:val="Subtítulo"/>
                          </w:pPr>
                          <w:r>
                            <w:rPr>
                              <w:rStyle w:val="Ninguno"/>
                              <w:rFonts w:ascii="Helvetica Neue Thin" w:hAnsi="Helvetica Neue Thin"/>
                              <w:spacing w:val="-1"/>
                              <w:sz w:val="32"/>
                              <w:szCs w:val="32"/>
                              <w:u w:color="929292"/>
                              <w:rtl w:val="0"/>
                              <w:lang w:val="pt-PT"/>
                              <w14:textOutline w14:w="12700" w14:cap="flat">
                                <w14:noFill/>
                                <w14:miter w14:lim="400000"/>
                              </w14:textOutline>
                            </w:rPr>
                            <w:t>Nota de Prensa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09.9pt;margin-top:41.2pt;width:133.8pt;height:44.4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Por omisión A"/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  <w:tab w:val="left" w:pos="10620"/>
                        <w:tab w:val="left" w:pos="11328"/>
                        <w:tab w:val="left" w:pos="12036"/>
                        <w:tab w:val="left" w:pos="12744"/>
                        <w:tab w:val="left" w:pos="13452"/>
                        <w:tab w:val="left" w:pos="14160"/>
                        <w:tab w:val="left" w:pos="14868"/>
                      </w:tabs>
                      <w:spacing w:before="0" w:line="240" w:lineRule="auto"/>
                      <w:rPr>
                        <w:rStyle w:val="Ninguno"/>
                        <w:b w:val="1"/>
                        <w:bCs w:val="1"/>
                        <w:spacing w:val="12"/>
                        <w:sz w:val="32"/>
                        <w:szCs w:val="32"/>
                        <w:u w:color="929292"/>
                        <w14:textOutline w14:w="12700" w14:cap="flat">
                          <w14:noFill/>
                          <w14:miter w14:lim="400000"/>
                        </w14:textOutline>
                      </w:rPr>
                    </w:pPr>
                    <w:r>
                      <w:rPr>
                        <w:rStyle w:val="Ninguno"/>
                        <w:b w:val="1"/>
                        <w:bCs w:val="1"/>
                        <w:spacing w:val="12"/>
                        <w:sz w:val="32"/>
                        <w:szCs w:val="32"/>
                        <w:u w:color="929292"/>
                        <w:rtl w:val="0"/>
                        <w:lang w:val="es-ES_tradnl"/>
                        <w14:textOutline w14:w="12700" w14:cap="flat">
                          <w14:noFill/>
                          <w14:miter w14:lim="400000"/>
                        </w14:textOutline>
                      </w:rPr>
                      <w:t>Prentsa Oharra</w:t>
                    </w:r>
                  </w:p>
                  <w:p>
                    <w:pPr>
                      <w:pStyle w:val="Subtítulo"/>
                    </w:pPr>
                    <w:r>
                      <w:rPr>
                        <w:rStyle w:val="Ninguno"/>
                        <w:rFonts w:ascii="Helvetica Neue Thin" w:hAnsi="Helvetica Neue Thin"/>
                        <w:spacing w:val="-1"/>
                        <w:sz w:val="32"/>
                        <w:szCs w:val="32"/>
                        <w:u w:color="929292"/>
                        <w:rtl w:val="0"/>
                        <w:lang w:val="pt-PT"/>
                        <w14:textOutline w14:w="12700" w14:cap="flat">
                          <w14:noFill/>
                          <w14:miter w14:lim="400000"/>
                        </w14:textOutline>
                      </w:rPr>
                      <w:t>Nota de Prensa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5257193</wp:posOffset>
              </wp:positionH>
              <wp:positionV relativeFrom="page">
                <wp:posOffset>1127863</wp:posOffset>
              </wp:positionV>
              <wp:extent cx="1566083" cy="0"/>
              <wp:effectExtent l="0" t="0" r="0" b="0"/>
              <wp:wrapNone/>
              <wp:docPr id="1073741827" name="officeArt object" descr="Lí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6083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414.0pt;margin-top:88.8pt;width:123.3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5257193</wp:posOffset>
              </wp:positionH>
              <wp:positionV relativeFrom="page">
                <wp:posOffset>442062</wp:posOffset>
              </wp:positionV>
              <wp:extent cx="1566083" cy="0"/>
              <wp:effectExtent l="0" t="0" r="0" b="0"/>
              <wp:wrapNone/>
              <wp:docPr id="1073741828" name="officeArt object" descr="Lí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6083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414.0pt;margin-top:34.8pt;width:123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2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 A">
    <w:name w:val="Por omisión A"/>
    <w:next w:val="Por omisión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Subtítulo">
    <w:name w:val="Sub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