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Override PartName="/word/media/image1.jpeg" ContentType="image/jpeg"/>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uerpo A"/>
        <w:spacing w:after="120"/>
        <w:rPr>
          <w:rStyle w:val="Ninguno"/>
          <w:b w:val="1"/>
          <w:bCs w:val="1"/>
          <w:sz w:val="36"/>
          <w:szCs w:val="36"/>
        </w:rPr>
      </w:pPr>
      <w:r>
        <w:rPr>
          <w:rStyle w:val="Ninguno"/>
          <w:b w:val="1"/>
          <w:bCs w:val="1"/>
          <w:sz w:val="36"/>
          <w:szCs w:val="36"/>
          <w:rtl w:val="0"/>
          <w:lang w:val="es-ES_tradnl"/>
        </w:rPr>
        <w:t>Gertuko turismoa, protagonista uztailean Irunen</w:t>
      </w:r>
    </w:p>
    <w:p>
      <w:pPr>
        <w:pStyle w:val="Cuerpo A"/>
        <w:numPr>
          <w:ilvl w:val="0"/>
          <w:numId w:val="2"/>
        </w:numPr>
        <w:bidi w:val="0"/>
        <w:spacing w:after="120"/>
        <w:ind w:right="0"/>
        <w:jc w:val="left"/>
        <w:rPr>
          <w:sz w:val="28"/>
          <w:szCs w:val="28"/>
          <w:rtl w:val="0"/>
          <w:lang w:val="es-ES_tradnl"/>
        </w:rPr>
      </w:pPr>
      <w:r>
        <w:rPr>
          <w:rStyle w:val="Ninguno"/>
          <w:sz w:val="28"/>
          <w:szCs w:val="28"/>
          <w:u w:color="008000"/>
          <w:rtl w:val="0"/>
          <w:lang w:val="es-ES_tradnl"/>
        </w:rPr>
        <w:t>Hotelen okupazioa %95etik gorakoa izan da.</w:t>
      </w:r>
    </w:p>
    <w:p>
      <w:pPr>
        <w:pStyle w:val="Cuerpo"/>
        <w:spacing w:after="120"/>
        <w:rPr>
          <w:rStyle w:val="Ninguno"/>
          <w:rFonts w:ascii="Helvetica Neue" w:cs="Helvetica Neue" w:hAnsi="Helvetica Neue" w:eastAsia="Helvetica Neue"/>
          <w:b w:val="1"/>
          <w:bCs w:val="1"/>
          <w:sz w:val="22"/>
          <w:szCs w:val="22"/>
        </w:rPr>
      </w:pPr>
      <w:r>
        <w:rPr>
          <w:rStyle w:val="Ninguno"/>
          <w:lang w:val="es-ES_tradnl"/>
        </w:rPr>
        <w:br w:type="textWrapping"/>
      </w:r>
      <w:r>
        <w:rPr>
          <w:rStyle w:val="Ninguno"/>
          <w:rFonts w:ascii="Helvetica Neue" w:hAnsi="Helvetica Neue"/>
          <w:sz w:val="22"/>
          <w:szCs w:val="22"/>
          <w:rtl w:val="0"/>
        </w:rPr>
        <w:t xml:space="preserve">Irunen, 2023ko abuztuaren 4an. - </w:t>
      </w:r>
      <w:r>
        <w:rPr>
          <w:rStyle w:val="Ninguno"/>
          <w:rFonts w:ascii="Helvetica Neue" w:hAnsi="Helvetica Neue"/>
          <w:b w:val="1"/>
          <w:bCs w:val="1"/>
          <w:sz w:val="22"/>
          <w:szCs w:val="22"/>
          <w:rtl w:val="0"/>
        </w:rPr>
        <w:t xml:space="preserve">Uztailean, Irungo turismo-jarduerak gero eta bisitari gehiago erakarri ditu hirira eta ingurura. Eskaintzaren aniztasunak eta </w:t>
      </w:r>
      <w:r>
        <w:rPr>
          <w:rStyle w:val="Ninguno"/>
          <w:rFonts w:ascii="Helvetica Neue" w:hAnsi="Helvetica Neue" w:hint="default"/>
          <w:b w:val="1"/>
          <w:bCs w:val="1"/>
          <w:sz w:val="22"/>
          <w:szCs w:val="22"/>
          <w:rtl w:val="1"/>
          <w:lang w:val="ar-SA" w:bidi="ar-SA"/>
        </w:rPr>
        <w:t>“</w:t>
      </w:r>
      <w:r>
        <w:rPr>
          <w:rStyle w:val="Ninguno"/>
          <w:rFonts w:ascii="Helvetica Neue" w:hAnsi="Helvetica Neue"/>
          <w:b w:val="1"/>
          <w:bCs w:val="1"/>
          <w:sz w:val="22"/>
          <w:szCs w:val="22"/>
          <w:rtl w:val="0"/>
          <w:lang w:val="de-DE"/>
        </w:rPr>
        <w:t>Dies Oiassonis Jaialdia</w:t>
      </w:r>
      <w:r>
        <w:rPr>
          <w:rStyle w:val="Ninguno"/>
          <w:rFonts w:ascii="Helvetica Neue" w:hAnsi="Helvetica Neue" w:hint="default"/>
          <w:b w:val="1"/>
          <w:bCs w:val="1"/>
          <w:sz w:val="22"/>
          <w:szCs w:val="22"/>
          <w:rtl w:val="0"/>
        </w:rPr>
        <w:t xml:space="preserve">” </w:t>
      </w:r>
      <w:r>
        <w:rPr>
          <w:rStyle w:val="Ninguno"/>
          <w:rFonts w:ascii="Helvetica Neue" w:hAnsi="Helvetica Neue"/>
          <w:b w:val="1"/>
          <w:bCs w:val="1"/>
          <w:sz w:val="22"/>
          <w:szCs w:val="22"/>
          <w:rtl w:val="0"/>
        </w:rPr>
        <w:t>bezalako ekimenek turismoa bultzatzen lagundu dute, batez ere gertuko turismoari dagokionez. Hotel-okupazioa, establezimenduek beraiek emandako kalkuluen arabera, % 95,3koa izan da uztailean.</w:t>
      </w:r>
    </w:p>
    <w:p>
      <w:pPr>
        <w:pStyle w:val="Cuerpo"/>
        <w:spacing w:after="120"/>
        <w:rPr>
          <w:rFonts w:ascii="Helvetica Neue" w:cs="Helvetica Neue" w:hAnsi="Helvetica Neue" w:eastAsia="Helvetica Neue"/>
          <w:sz w:val="22"/>
          <w:szCs w:val="22"/>
        </w:rPr>
      </w:pPr>
      <w:r>
        <w:rPr>
          <w:rFonts w:ascii="Helvetica Neue" w:hAnsi="Helvetica Neue"/>
          <w:sz w:val="22"/>
          <w:szCs w:val="22"/>
          <w:rtl w:val="0"/>
        </w:rPr>
        <w:t>Uztailean Irun bisitatu duten pertsonen heren batek gutxienez gau bat igaro du hiriko hotel-establezimenduetan, eta, horri esker, logelen okupazio-zifrak % 95etik gora igo dira. Irungo Atalaia hoteletik adierazi dutenez, "lan handia egin genuen uztaileko lehen astean, batez ere Donosti Cup txapelketaren ondorioz, eta baita azken bietan ere. Hilabetearen erdiko asteetan enpresetako ohiko bezeroak izan ditugu, eta asteburuan, batez ere, turistak</w:t>
      </w:r>
      <w:r>
        <w:rPr>
          <w:rFonts w:ascii="Helvetica Neue" w:hAnsi="Helvetica Neue" w:hint="default"/>
          <w:sz w:val="22"/>
          <w:szCs w:val="22"/>
          <w:rtl w:val="0"/>
          <w:lang w:val="es-ES_tradnl"/>
        </w:rPr>
        <w:t>”</w:t>
      </w:r>
      <w:r>
        <w:rPr>
          <w:rFonts w:ascii="Helvetica Neue" w:hAnsi="Helvetica Neue"/>
          <w:sz w:val="22"/>
          <w:szCs w:val="22"/>
          <w:rtl w:val="0"/>
        </w:rPr>
        <w:t>.</w:t>
      </w:r>
    </w:p>
    <w:p>
      <w:pPr>
        <w:pStyle w:val="Cuerpo"/>
        <w:spacing w:after="120"/>
        <w:rPr>
          <w:rFonts w:ascii="Helvetica Neue" w:cs="Helvetica Neue" w:hAnsi="Helvetica Neue" w:eastAsia="Helvetica Neue"/>
          <w:sz w:val="22"/>
          <w:szCs w:val="22"/>
        </w:rPr>
      </w:pPr>
      <w:r>
        <w:rPr>
          <w:rFonts w:ascii="Helvetica Neue" w:hAnsi="Helvetica Neue"/>
          <w:sz w:val="22"/>
          <w:szCs w:val="22"/>
          <w:rtl w:val="0"/>
          <w:lang w:val="it-IT"/>
        </w:rPr>
        <w:t>Bidasoa biziko presidentea den Miguel Angel Paezen iritziz, "eskualdeko eskaintza turistikoa dibertsifikatzea erakargarri berezia da bisitatzen gaituztenentzat: natura, kostaldea, hondartzak, gastronomia eta ondare historiko-kulturala eskaintza turistiko jasangarri eta kalitatezkoa dira, eta urtetik urtera gero eta jende gehiago erakartzen dute</w:t>
      </w:r>
      <w:r>
        <w:rPr>
          <w:rFonts w:ascii="Helvetica Neue" w:hAnsi="Helvetica Neue" w:hint="default"/>
          <w:sz w:val="22"/>
          <w:szCs w:val="22"/>
          <w:rtl w:val="0"/>
          <w:lang w:val="es-ES_tradnl"/>
        </w:rPr>
        <w:t>”</w:t>
      </w:r>
      <w:r>
        <w:rPr>
          <w:rFonts w:ascii="Helvetica Neue" w:hAnsi="Helvetica Neue"/>
          <w:sz w:val="22"/>
          <w:szCs w:val="22"/>
          <w:rtl w:val="0"/>
        </w:rPr>
        <w:t>.</w:t>
      </w:r>
    </w:p>
    <w:p>
      <w:pPr>
        <w:pStyle w:val="Cuerpo"/>
        <w:spacing w:after="120"/>
        <w:rPr>
          <w:rFonts w:ascii="Helvetica Neue" w:cs="Helvetica Neue" w:hAnsi="Helvetica Neue" w:eastAsia="Helvetica Neue"/>
          <w:sz w:val="22"/>
          <w:szCs w:val="22"/>
        </w:rPr>
      </w:pPr>
      <w:r>
        <w:rPr>
          <w:rFonts w:ascii="Helvetica Neue" w:hAnsi="Helvetica Neue"/>
          <w:sz w:val="22"/>
          <w:szCs w:val="22"/>
          <w:rtl w:val="0"/>
        </w:rPr>
        <w:t>Ildo beretik, Oiasso Museoak 2.200 pertsona baino gehiagoren bisita jaso du, proposatutako jardueretan parte hartu dutenak: erakusketa iraunkorra, Pvro antzerkia, tailerrak eta bisita gidatuak. Datu horiek ikusita nabarmendu daiteke % 10eko igoera egon dela aurreko urtearekin alderatuta (Dies Oiassonis Jaialdia dela-eta museora hurbildu diren pertsonak kontuan hartu gabe).</w:t>
      </w:r>
    </w:p>
    <w:p>
      <w:pPr>
        <w:pStyle w:val="Cuerpo"/>
        <w:spacing w:after="120"/>
        <w:rPr>
          <w:rFonts w:ascii="Helvetica Neue" w:cs="Helvetica Neue" w:hAnsi="Helvetica Neue" w:eastAsia="Helvetica Neue"/>
          <w:sz w:val="22"/>
          <w:szCs w:val="22"/>
        </w:rPr>
      </w:pPr>
      <w:r>
        <w:rPr>
          <w:rFonts w:ascii="Helvetica Neue" w:hAnsi="Helvetica Neue"/>
          <w:sz w:val="22"/>
          <w:szCs w:val="22"/>
          <w:rtl w:val="0"/>
        </w:rPr>
        <w:t>Bidatourren kasuan, uztailean 187 lagunek hartu dute parte Bidasoa eskualdean antolatzen dituen bisita gidatu eta ekimenetan.</w:t>
      </w:r>
    </w:p>
    <w:p>
      <w:pPr>
        <w:pStyle w:val="Cuerpo"/>
        <w:spacing w:after="120"/>
        <w:rPr>
          <w:rFonts w:ascii="Helvetica Neue" w:cs="Helvetica Neue" w:hAnsi="Helvetica Neue" w:eastAsia="Helvetica Neue"/>
          <w:b w:val="1"/>
          <w:bCs w:val="1"/>
          <w:sz w:val="22"/>
          <w:szCs w:val="22"/>
        </w:rPr>
      </w:pPr>
      <w:r>
        <w:rPr>
          <w:rFonts w:ascii="Helvetica Neue" w:hAnsi="Helvetica Neue"/>
          <w:b w:val="1"/>
          <w:bCs w:val="1"/>
          <w:sz w:val="22"/>
          <w:szCs w:val="22"/>
          <w:rtl w:val="0"/>
        </w:rPr>
        <w:t>Bisitarien jatorria</w:t>
      </w:r>
    </w:p>
    <w:p>
      <w:pPr>
        <w:pStyle w:val="Cuerpo"/>
        <w:spacing w:after="120"/>
        <w:rPr>
          <w:rFonts w:ascii="Helvetica Neue" w:cs="Helvetica Neue" w:hAnsi="Helvetica Neue" w:eastAsia="Helvetica Neue"/>
          <w:sz w:val="22"/>
          <w:szCs w:val="22"/>
        </w:rPr>
      </w:pPr>
      <w:r>
        <w:rPr>
          <w:rFonts w:ascii="Helvetica Neue" w:hAnsi="Helvetica Neue"/>
          <w:sz w:val="22"/>
          <w:szCs w:val="22"/>
          <w:rtl w:val="0"/>
          <w:lang w:val="it-IT"/>
        </w:rPr>
        <w:t>Irungo Turismo Bulegoak 1.719 bisita jaso ditu uztailean, eta horietatik % 75 baino gehiago bisitari nazionalak ziren. Informazioa eskatzera joan diren pertsona gehienak ( % 62) inguru gertuko bisitariak ziren (Gipuzkoakoak eta Euskadikoak).</w:t>
      </w:r>
    </w:p>
    <w:p>
      <w:pPr>
        <w:pStyle w:val="Cuerpo"/>
        <w:spacing w:after="120"/>
        <w:rPr>
          <w:rFonts w:ascii="Helvetica Neue" w:cs="Helvetica Neue" w:hAnsi="Helvetica Neue" w:eastAsia="Helvetica Neue"/>
          <w:sz w:val="22"/>
          <w:szCs w:val="22"/>
        </w:rPr>
      </w:pPr>
      <w:r>
        <w:rPr>
          <w:rFonts w:ascii="Helvetica Neue" w:hAnsi="Helvetica Neue"/>
          <w:sz w:val="22"/>
          <w:szCs w:val="22"/>
          <w:rtl w:val="0"/>
        </w:rPr>
        <w:t>Turismo nazionalaren buru Madril, Katalunia, Gaztela eta Leondik eta Andaluziatik etorritako pertsonak izan dira. Azken bi erkidego horietako bisitarien kopuruak gora egin du azkenaldian. Atzerriko turismoari dagokionez, jatorri nagusia Frantzia da ( % 16), eta ondoren datoz Alemania, Erresuma Batua, Estatu Batuak eta Belgika.</w:t>
      </w:r>
    </w:p>
    <w:p>
      <w:pPr>
        <w:pStyle w:val="Cuerpo"/>
        <w:spacing w:after="120"/>
        <w:rPr>
          <w:rFonts w:ascii="Helvetica Neue" w:cs="Helvetica Neue" w:hAnsi="Helvetica Neue" w:eastAsia="Helvetica Neue"/>
          <w:sz w:val="22"/>
          <w:szCs w:val="22"/>
        </w:rPr>
      </w:pPr>
      <w:r>
        <w:rPr>
          <w:rFonts w:ascii="Helvetica Neue" w:hAnsi="Helvetica Neue"/>
          <w:sz w:val="22"/>
          <w:szCs w:val="22"/>
          <w:rtl w:val="0"/>
        </w:rPr>
        <w:t>Jasotako galdera gehienak kultur jarduerekin eta sarreren salmentarekin lotuta egon dira, gertuko turismoaren kasuan. Gainerako bisitariek interes turistikoa duten lekuak, planoak eta liburuxkak, Donejakue bidea eta familia-turismoa, komunikazioak, garraioa eta natura izan dituzte hizpide.</w:t>
      </w:r>
    </w:p>
    <w:p>
      <w:pPr>
        <w:pStyle w:val="Cuerpo"/>
        <w:spacing w:after="120"/>
        <w:rPr>
          <w:rFonts w:ascii="Helvetica Neue" w:cs="Helvetica Neue" w:hAnsi="Helvetica Neue" w:eastAsia="Helvetica Neue"/>
          <w:b w:val="1"/>
          <w:bCs w:val="1"/>
          <w:sz w:val="22"/>
          <w:szCs w:val="22"/>
        </w:rPr>
      </w:pPr>
      <w:r>
        <w:rPr>
          <w:rFonts w:ascii="Helvetica Neue" w:hAnsi="Helvetica Neue"/>
          <w:b w:val="1"/>
          <w:bCs w:val="1"/>
          <w:sz w:val="22"/>
          <w:szCs w:val="22"/>
          <w:rtl w:val="0"/>
        </w:rPr>
        <w:t>Bisita gidatua</w:t>
      </w:r>
      <w:r>
        <w:rPr>
          <w:rFonts w:ascii="Helvetica Neue" w:hAnsi="Helvetica Neue"/>
          <w:b w:val="1"/>
          <w:bCs w:val="1"/>
          <w:sz w:val="22"/>
          <w:szCs w:val="22"/>
          <w:rtl w:val="0"/>
          <w:lang w:val="es-ES_tradnl"/>
        </w:rPr>
        <w:t>k</w:t>
      </w:r>
    </w:p>
    <w:p>
      <w:pPr>
        <w:pStyle w:val="Cuerpo"/>
        <w:spacing w:after="120"/>
        <w:rPr>
          <w:rFonts w:ascii="Helvetica Neue" w:cs="Helvetica Neue" w:hAnsi="Helvetica Neue" w:eastAsia="Helvetica Neue"/>
          <w:sz w:val="22"/>
          <w:szCs w:val="22"/>
        </w:rPr>
      </w:pPr>
      <w:r>
        <w:rPr>
          <w:rFonts w:ascii="Helvetica Neue" w:hAnsi="Helvetica Neue"/>
          <w:sz w:val="22"/>
          <w:szCs w:val="22"/>
          <w:rtl w:val="0"/>
        </w:rPr>
        <w:t>Aurreko urteetan bezala, Irungo Udalak eta Bidasoa bizirik-ek bisita gidatuak jarri dituzte martxan udan zehar, irundarrei eta bisitariei hiriaren historia, ondarea, alde zaharra edo udaletxea ezagutzeko aukera emanez. Uztailean antolatutako bisita gehienek aurreikusitako plazak agortu dituzte (taldeko 15 lagun).</w:t>
      </w:r>
    </w:p>
    <w:p>
      <w:pPr>
        <w:pStyle w:val="Cuerpo"/>
        <w:spacing w:after="120"/>
      </w:pPr>
      <w:r>
        <w:rPr>
          <w:rFonts w:ascii="Helvetica Neue" w:cs="Helvetica Neue" w:hAnsi="Helvetica Neue" w:eastAsia="Helvetica Neue"/>
          <w:sz w:val="22"/>
          <w:szCs w:val="22"/>
        </w:rPr>
      </w:r>
    </w:p>
    <w:sectPr>
      <w:headerReference w:type="default" r:id="rId4"/>
      <w:footerReference w:type="default" r:id="rId5"/>
      <w:pgSz w:w="11900" w:h="16840" w:orient="portrait"/>
      <w:pgMar w:top="2520"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Helvetica Neue Thin">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abecera y pie"/>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Cuerpo B"/>
    </w:pPr>
    <w:r>
      <w:drawing xmlns:a="http://schemas.openxmlformats.org/drawingml/2006/main">
        <wp:anchor distT="152400" distB="152400" distL="152400" distR="152400" simplePos="0" relativeHeight="251658240" behindDoc="1" locked="0" layoutInCell="1" allowOverlap="1">
          <wp:simplePos x="0" y="0"/>
          <wp:positionH relativeFrom="page">
            <wp:posOffset>715072</wp:posOffset>
          </wp:positionH>
          <wp:positionV relativeFrom="page">
            <wp:posOffset>427776</wp:posOffset>
          </wp:positionV>
          <wp:extent cx="738193" cy="712765"/>
          <wp:effectExtent l="0" t="0" r="0" b="0"/>
          <wp:wrapNone/>
          <wp:docPr id="1073741825" name="officeArt object" descr="Logotipo-Bidasoa-Activa.jpg"/>
          <wp:cNvGraphicFramePr/>
          <a:graphic xmlns:a="http://schemas.openxmlformats.org/drawingml/2006/main">
            <a:graphicData uri="http://schemas.openxmlformats.org/drawingml/2006/picture">
              <pic:pic xmlns:pic="http://schemas.openxmlformats.org/drawingml/2006/picture">
                <pic:nvPicPr>
                  <pic:cNvPr id="1073741825" name="Logotipo-Bidasoa-Activa.jpg" descr="Logotipo-Bidasoa-Activa.jpg"/>
                  <pic:cNvPicPr>
                    <a:picLocks noChangeAspect="1"/>
                  </pic:cNvPicPr>
                </pic:nvPicPr>
                <pic:blipFill>
                  <a:blip r:embed="rId1">
                    <a:extLst/>
                  </a:blip>
                  <a:stretch>
                    <a:fillRect/>
                  </a:stretch>
                </pic:blipFill>
                <pic:spPr>
                  <a:xfrm>
                    <a:off x="0" y="0"/>
                    <a:ext cx="738193" cy="712765"/>
                  </a:xfrm>
                  <a:prstGeom prst="rect">
                    <a:avLst/>
                  </a:prstGeom>
                  <a:ln w="12700" cap="flat">
                    <a:noFill/>
                    <a:miter lim="400000"/>
                  </a:ln>
                  <a:effectLst/>
                </pic:spPr>
              </pic:pic>
            </a:graphicData>
          </a:graphic>
        </wp:anchor>
      </w:drawing>
    </w:r>
    <w:r>
      <mc:AlternateContent>
        <mc:Choice Requires="wps">
          <w:drawing xmlns:a="http://schemas.openxmlformats.org/drawingml/2006/main">
            <wp:anchor distT="152400" distB="152400" distL="152400" distR="152400" simplePos="0" relativeHeight="251659264" behindDoc="1" locked="0" layoutInCell="1" allowOverlap="1">
              <wp:simplePos x="0" y="0"/>
              <wp:positionH relativeFrom="page">
                <wp:posOffset>5205321</wp:posOffset>
              </wp:positionH>
              <wp:positionV relativeFrom="page">
                <wp:posOffset>522872</wp:posOffset>
              </wp:positionV>
              <wp:extent cx="1699567" cy="568781"/>
              <wp:effectExtent l="0" t="0" r="0" b="0"/>
              <wp:wrapNone/>
              <wp:docPr id="1073741826" name="officeArt object" descr="Prentsa Oharra • Nota de Prensa • Prentsa Oharra • Nota de Prensa • Prentsa Oharra"/>
              <wp:cNvGraphicFramePr/>
              <a:graphic xmlns:a="http://schemas.openxmlformats.org/drawingml/2006/main">
                <a:graphicData uri="http://schemas.microsoft.com/office/word/2010/wordprocessingShape">
                  <wps:wsp>
                    <wps:cNvSpPr txBox="1"/>
                    <wps:spPr>
                      <a:xfrm>
                        <a:off x="0" y="0"/>
                        <a:ext cx="1699567" cy="568781"/>
                      </a:xfrm>
                      <a:prstGeom prst="rect">
                        <a:avLst/>
                      </a:prstGeom>
                      <a:noFill/>
                      <a:ln w="12700" cap="flat">
                        <a:noFill/>
                        <a:miter lim="400000"/>
                      </a:ln>
                      <a:effectLst/>
                    </wps:spPr>
                    <wps:txb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wps:txbx>
                    <wps:bodyPr wrap="square" lIns="50800" tIns="50800" rIns="50800" bIns="50800" numCol="1" anchor="t">
                      <a:noAutofit/>
                    </wps:bodyPr>
                  </wps:wsp>
                </a:graphicData>
              </a:graphic>
            </wp:anchor>
          </w:drawing>
        </mc:Choice>
        <mc:Fallback>
          <w:pict>
            <v:shape id="_x0000_s1026" type="#_x0000_t202" style="visibility:visible;position:absolute;margin-left:409.9pt;margin-top:41.2pt;width:133.8pt;height:44.8pt;z-index:-251657216;mso-position-horizontal:absolute;mso-position-horizontal-relative:page;mso-position-vertical:absolute;mso-position-vertical-relative:page;mso-wrap-distance-left:12.0pt;mso-wrap-distance-top:12.0pt;mso-wrap-distance-right:12.0pt;mso-wrap-distance-bottom:12.0pt;">
              <v:fill on="f"/>
              <v:stroke on="f" weight="1.0pt" dashstyle="solid" endcap="flat" miterlimit="400.0%" joinstyle="miter" linestyle="single" startarrow="none" startarrowwidth="medium" startarrowlength="medium" endarrow="none" endarrowwidth="medium" endarrowlength="medium"/>
              <v:textbox>
                <w:txbxContent>
                  <w:p>
                    <w:pPr>
                      <w:pStyle w:val="Por omisión A"/>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s>
                      <w:spacing w:before="0" w:line="240" w:lineRule="auto"/>
                      <w:rPr>
                        <w:rStyle w:val="Ninguno"/>
                        <w:b w:val="1"/>
                        <w:bCs w:val="1"/>
                        <w:spacing w:val="12"/>
                        <w:sz w:val="32"/>
                        <w:szCs w:val="32"/>
                        <w:u w:color="929292"/>
                      </w:rPr>
                    </w:pPr>
                    <w:r>
                      <w:rPr>
                        <w:rStyle w:val="Ninguno"/>
                        <w:b w:val="1"/>
                        <w:bCs w:val="1"/>
                        <w:spacing w:val="12"/>
                        <w:sz w:val="32"/>
                        <w:szCs w:val="32"/>
                        <w:u w:color="929292"/>
                        <w:rtl w:val="0"/>
                        <w:lang w:val="es-ES_tradnl"/>
                      </w:rPr>
                      <w:t>Prentsa Oharra</w:t>
                    </w:r>
                  </w:p>
                  <w:p>
                    <w:pPr>
                      <w:pStyle w:val="Subtitle"/>
                    </w:pPr>
                    <w:r>
                      <w:rPr>
                        <w:rStyle w:val="Ninguno"/>
                        <w:rFonts w:ascii="Helvetica Neue Thin" w:hAnsi="Helvetica Neue Thin"/>
                        <w:spacing w:val="-1"/>
                        <w:sz w:val="32"/>
                        <w:szCs w:val="32"/>
                        <w:u w:color="929292"/>
                        <w:rtl w:val="0"/>
                        <w:lang w:val="pt-PT"/>
                        <w14:textOutline w14:w="12700" w14:cap="flat">
                          <w14:noFill/>
                          <w14:miter w14:lim="400000"/>
                        </w14:textOutline>
                      </w:rPr>
                      <w:t>Nota de Prensa</w:t>
                    </w:r>
                  </w:p>
                </w:txbxContent>
              </v:textbox>
              <w10:wrap type="none" side="bothSides" anchorx="page" anchory="page"/>
            </v:shape>
          </w:pict>
        </mc:Fallback>
      </mc:AlternateContent>
    </w:r>
    <w:r>
      <mc:AlternateContent>
        <mc:Choice Requires="wps">
          <w:drawing xmlns:a="http://schemas.openxmlformats.org/drawingml/2006/main">
            <wp:anchor distT="152400" distB="152400" distL="152400" distR="152400" simplePos="0" relativeHeight="251660288" behindDoc="1" locked="0" layoutInCell="1" allowOverlap="1">
              <wp:simplePos x="0" y="0"/>
              <wp:positionH relativeFrom="page">
                <wp:posOffset>5257193</wp:posOffset>
              </wp:positionH>
              <wp:positionV relativeFrom="page">
                <wp:posOffset>1127863</wp:posOffset>
              </wp:positionV>
              <wp:extent cx="1566084" cy="0"/>
              <wp:effectExtent l="0" t="0" r="0" b="0"/>
              <wp:wrapNone/>
              <wp:docPr id="1073741827" name="officeArt object" descr="Línea"/>
              <wp:cNvGraphicFramePr/>
              <a:graphic xmlns:a="http://schemas.openxmlformats.org/drawingml/2006/main">
                <a:graphicData uri="http://schemas.microsoft.com/office/word/2010/wordprocessingShape">
                  <wps:wsp>
                    <wps:cNvSpPr/>
                    <wps:spPr>
                      <a:xfrm>
                        <a:off x="0" y="0"/>
                        <a:ext cx="1566084" cy="0"/>
                      </a:xfrm>
                      <a:prstGeom prst="line">
                        <a:avLst/>
                      </a:prstGeom>
                      <a:noFill/>
                      <a:ln w="25400" cap="flat">
                        <a:solidFill>
                          <a:srgbClr val="000000"/>
                        </a:solidFill>
                        <a:prstDash val="solid"/>
                        <a:miter lim="400000"/>
                      </a:ln>
                      <a:effectLst/>
                    </wps:spPr>
                    <wps:bodyPr/>
                  </wps:wsp>
                </a:graphicData>
              </a:graphic>
            </wp:anchor>
          </w:drawing>
        </mc:Choice>
        <mc:Fallback>
          <w:pict>
            <v:line id="_x0000_s1027" style="visibility:visible;position:absolute;margin-left:414.0pt;margin-top:88.8pt;width:123.3pt;height:0.0pt;z-index:-251656192;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2.0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mc:AlternateContent>
        <mc:Choice Requires="wps">
          <w:drawing xmlns:a="http://schemas.openxmlformats.org/drawingml/2006/main">
            <wp:anchor distT="152400" distB="152400" distL="152400" distR="152400" simplePos="0" relativeHeight="251661312" behindDoc="1" locked="0" layoutInCell="1" allowOverlap="1">
              <wp:simplePos x="0" y="0"/>
              <wp:positionH relativeFrom="page">
                <wp:posOffset>5257193</wp:posOffset>
              </wp:positionH>
              <wp:positionV relativeFrom="page">
                <wp:posOffset>442062</wp:posOffset>
              </wp:positionV>
              <wp:extent cx="1566084" cy="0"/>
              <wp:effectExtent l="0" t="0" r="0" b="0"/>
              <wp:wrapNone/>
              <wp:docPr id="1073741828" name="officeArt object" descr="Línea"/>
              <wp:cNvGraphicFramePr/>
              <a:graphic xmlns:a="http://schemas.openxmlformats.org/drawingml/2006/main">
                <a:graphicData uri="http://schemas.microsoft.com/office/word/2010/wordprocessingShape">
                  <wps:wsp>
                    <wps:cNvSpPr/>
                    <wps:spPr>
                      <a:xfrm>
                        <a:off x="0" y="0"/>
                        <a:ext cx="1566084" cy="0"/>
                      </a:xfrm>
                      <a:prstGeom prst="line">
                        <a:avLst/>
                      </a:prstGeom>
                      <a:noFill/>
                      <a:ln w="3175" cap="flat">
                        <a:solidFill>
                          <a:srgbClr val="000000"/>
                        </a:solidFill>
                        <a:prstDash val="solid"/>
                        <a:miter lim="400000"/>
                      </a:ln>
                      <a:effectLst/>
                    </wps:spPr>
                    <wps:bodyPr/>
                  </wps:wsp>
                </a:graphicData>
              </a:graphic>
            </wp:anchor>
          </w:drawing>
        </mc:Choice>
        <mc:Fallback>
          <w:pict>
            <v:line id="_x0000_s1028" style="visibility:visible;position:absolute;margin-left:414.0pt;margin-top:34.8pt;width:123.3pt;height:0.0pt;z-index:-251655168;mso-position-horizontal:absolute;mso-position-horizontal-relative:page;mso-position-vertical:absolute;mso-position-vertical-relative:page;mso-wrap-distance-left:12.0pt;mso-wrap-distance-top:12.0pt;mso-wrap-distance-right:12.0pt;mso-wrap-distance-bottom:12.0pt;">
              <v:fill on="f"/>
              <v:stroke filltype="solid" color="#000000" opacity="100.0%" weight="0.2pt" dashstyle="solid" endcap="flat" miterlimit="400.0%" joinstyle="miter" linestyle="single" startarrow="none" startarrowwidth="medium" startarrowlength="medium" endarrow="none" endarrowwidth="medium" endarrowlength="medium"/>
              <w10:wrap type="none" side="bothSides" anchorx="page" anchory="page"/>
            </v:line>
          </w:pict>
        </mc:Fallback>
      </mc:AlternateContent>
    </w: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Estilo importado 1"/>
  </w:abstractNum>
  <w:abstractNum w:abstractNumId="1">
    <w:multiLevelType w:val="hybridMultilevel"/>
    <w:styleLink w:val="Estilo importado 1"/>
    <w:lvl w:ilvl="0">
      <w:start w:val="1"/>
      <w:numFmt w:val="bullet"/>
      <w:suff w:val="tab"/>
      <w:lvlText w:val="•"/>
      <w:lvlJc w:val="left"/>
      <w:pPr>
        <w:ind w:left="28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0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72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44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16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88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0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32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043" w:hanging="283"/>
      </w:pPr>
      <w:rPr>
        <w:rFonts w:ascii="Helvetica Neue" w:cs="Helvetica Neue" w:hAnsi="Helvetica Neue" w:eastAsia="Helvetica Neue"/>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spañol" w:val="‘“(〔[{〈《「『【⦅〘〖«〝︵︷︹︻︽︿﹁﹃﹇﹙﹛﹝｢"/>
  <w:noLineBreaksBefore w:lang="español"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Cuerpo B">
    <w:name w:val="Cuerpo B"/>
    <w:next w:val="Cuerpo B"/>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paragraph" w:styleId="Por omisión A">
    <w:name w:val="Por omisión A"/>
    <w:next w:val="Por omisión A"/>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character" w:styleId="Ninguno">
    <w:name w:val="Ninguno"/>
    <w:rPr>
      <w:lang w:val="es-ES_tradnl"/>
    </w:rPr>
  </w:style>
  <w:style w:type="paragraph" w:styleId="Subtitle">
    <w:name w:val="Subtitle"/>
    <w:next w:val="Cuerpo B"/>
    <w:pPr>
      <w:keepNext w:val="1"/>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40"/>
      <w:szCs w:val="40"/>
      <w:u w:val="none" w:color="000000"/>
      <w:shd w:val="nil" w:color="auto" w:fill="auto"/>
      <w:vertAlign w:val="baseline"/>
      <w:lang w:val="pt-PT"/>
      <w14:textOutline w14:w="12700" w14:cap="flat">
        <w14:noFill/>
        <w14:miter w14:lim="400000"/>
      </w14:textOutline>
      <w14:textFill>
        <w14:solidFill>
          <w14:srgbClr w14:val="000000"/>
        </w14:solidFill>
      </w14:textFill>
    </w:rPr>
  </w:style>
  <w:style w:type="paragraph" w:styleId="Cabecera y pie">
    <w:name w:val="Cabecera y pie"/>
    <w:next w:val="Cabecera y pie"/>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Cuerpo A">
    <w:name w:val="Cuerpo A"/>
    <w:next w:val="Cuerpo A"/>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s-ES_tradnl"/>
      <w14:textOutline w14:w="12700" w14:cap="flat">
        <w14:noFill/>
        <w14:miter w14:lim="400000"/>
      </w14:textOutline>
      <w14:textFill>
        <w14:solidFill>
          <w14:srgbClr w14:val="000000"/>
        </w14:solidFill>
      </w14:textFill>
    </w:rPr>
  </w:style>
  <w:style w:type="numbering" w:styleId="Estilo importado 1">
    <w:name w:val="Estilo importado 1"/>
    <w:pPr>
      <w:numPr>
        <w:numId w:val="1"/>
      </w:numPr>
    </w:pPr>
  </w:style>
  <w:style w:type="paragraph" w:styleId="Cuerpo">
    <w:name w:val="Cuerpo"/>
    <w:next w:val="Cuerpo"/>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Times New Roman" w:cs="Times New Roman" w:hAnsi="Times New Roman" w:eastAsia="Times New Roman"/>
      <w:b w:val="0"/>
      <w:bCs w:val="0"/>
      <w:i w:val="0"/>
      <w:iCs w:val="0"/>
      <w:caps w:val="0"/>
      <w:smallCaps w:val="0"/>
      <w:strike w:val="0"/>
      <w:dstrike w:val="0"/>
      <w:outline w:val="0"/>
      <w:color w:val="000000"/>
      <w:spacing w:val="0"/>
      <w:kern w:val="0"/>
      <w:position w:val="0"/>
      <w:sz w:val="24"/>
      <w:szCs w:val="24"/>
      <w:u w:val="none" w:color="000000"/>
      <w:shd w:val="nil" w:color="auto" w:fill="auto"/>
      <w:vertAlign w:val="baseline"/>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_rels/header1.xml.rels><?xml version="1.0" encoding="UTF-8"?>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