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BB1486" w:rsidRDefault="00000000">
      <w:pPr>
        <w:pStyle w:val="CuerpoA"/>
        <w:spacing w:after="240"/>
        <w:rPr>
          <w:rStyle w:val="Ninguno"/>
          <w:b/>
          <w:bCs/>
          <w:sz w:val="36"/>
          <w:szCs w:val="36"/>
        </w:rPr>
      </w:pPr>
      <w:r>
        <w:rPr>
          <w:rStyle w:val="Ninguno"/>
          <w:b/>
          <w:bCs/>
          <w:sz w:val="36"/>
          <w:szCs w:val="36"/>
        </w:rPr>
        <w:t>Bidasoa Gunea enpresen DNA ekintzailea sustatzeko helburuarekin hasi da martxan</w:t>
      </w:r>
    </w:p>
    <w:p w:rsidR="00BB1486" w:rsidRDefault="00000000">
      <w:pPr>
        <w:pStyle w:val="CuerpoA"/>
        <w:spacing w:after="120"/>
        <w:rPr>
          <w:rStyle w:val="Ninguno"/>
          <w:sz w:val="28"/>
          <w:szCs w:val="28"/>
          <w:u w:color="008000"/>
        </w:rPr>
      </w:pPr>
      <w:r>
        <w:rPr>
          <w:rStyle w:val="Ninguno"/>
          <w:sz w:val="28"/>
          <w:szCs w:val="28"/>
          <w:u w:color="008000"/>
        </w:rPr>
        <w:t>Gune hau ahalmen berritzailea duten enpresa eta proiektu berriak sortzea sustatuko du.</w:t>
      </w:r>
    </w:p>
    <w:p w:rsidR="00BB1486" w:rsidRDefault="00BB1486">
      <w:pPr>
        <w:pStyle w:val="Cuerpo"/>
        <w:rPr>
          <w:rStyle w:val="Ninguno"/>
        </w:rPr>
      </w:pPr>
    </w:p>
    <w:p w:rsidR="00BB1486" w:rsidRDefault="00000000">
      <w:pPr>
        <w:pStyle w:val="CuerpoA"/>
        <w:spacing w:after="120"/>
        <w:rPr>
          <w:rStyle w:val="Ninguno"/>
          <w:b/>
          <w:bCs/>
        </w:rPr>
      </w:pPr>
      <w:r>
        <w:rPr>
          <w:rStyle w:val="Ninguno"/>
        </w:rPr>
        <w:t xml:space="preserve">Irunen, 2023ko maiatzaren </w:t>
      </w:r>
      <w:r w:rsidR="00C77E6C">
        <w:rPr>
          <w:rStyle w:val="Ninguno"/>
        </w:rPr>
        <w:t>25e</w:t>
      </w:r>
      <w:r>
        <w:rPr>
          <w:rStyle w:val="Ninguno"/>
        </w:rPr>
        <w:t xml:space="preserve">an.- </w:t>
      </w:r>
      <w:r>
        <w:rPr>
          <w:rStyle w:val="Ninguno"/>
          <w:b/>
          <w:bCs/>
        </w:rPr>
        <w:t>Eskualdeko enpresa talde batek, hainbat sektoretan diharduenak, Bidasoa Gunearen lehenengo ekimenean parte hartu du aste honetan. Ekimen horren helburua bere ekintzailetza-potentziala aktibatzea da, berrikuntza eta lehiakortasuna indartzeko bide gisa. Jarduera honek jarraipena izango du 'Enpresa ekintzailea' programarekin. Programa hori lau saiotan garatuko da maiatzaren 30etik ekainaren 20ra bitartean, eta interesa duten ETEek parte har dezakete.</w:t>
      </w:r>
    </w:p>
    <w:p w:rsidR="00BB1486" w:rsidRDefault="00000000">
      <w:pPr>
        <w:pStyle w:val="Cuerpo"/>
        <w:spacing w:after="120"/>
        <w:rPr>
          <w:rStyle w:val="Ninguno"/>
          <w:rFonts w:ascii="Helvetica Neue" w:eastAsia="Helvetica Neue" w:hAnsi="Helvetica Neue" w:cs="Helvetica Neue"/>
          <w:sz w:val="22"/>
          <w:szCs w:val="22"/>
        </w:rPr>
      </w:pPr>
      <w:r>
        <w:rPr>
          <w:rStyle w:val="Ninguno"/>
          <w:rFonts w:ascii="Helvetica Neue" w:hAnsi="Helvetica Neue"/>
          <w:sz w:val="22"/>
          <w:szCs w:val="22"/>
        </w:rPr>
        <w:t>Aste honetan egindako bilkurak esperientziak partekatzeko eta enpresei beren barneko ekintzailetza-estrategian laguntzeko dauden laguntza-tresnak eta -programak ezagutzeko balio izan du.</w:t>
      </w:r>
    </w:p>
    <w:p w:rsidR="00BB1486" w:rsidRDefault="00000000">
      <w:pPr>
        <w:pStyle w:val="Cuerpo"/>
        <w:spacing w:after="120"/>
        <w:rPr>
          <w:rStyle w:val="Ninguno"/>
        </w:rPr>
      </w:pPr>
      <w:r>
        <w:rPr>
          <w:rStyle w:val="Ninguno"/>
          <w:rFonts w:ascii="Helvetica Neue" w:hAnsi="Helvetica Neue"/>
          <w:color w:val="050505"/>
          <w:sz w:val="22"/>
          <w:szCs w:val="22"/>
          <w:u w:color="050505"/>
          <w:shd w:val="clear" w:color="auto" w:fill="FFFFFF"/>
        </w:rPr>
        <w:t>Aurkezpen ekitaldian parte hartu dute Bidasoa biziko arduradunek, BIC Gipuzkoakoak, Iñ</w:t>
      </w:r>
      <w:r>
        <w:rPr>
          <w:rStyle w:val="Ninguno"/>
          <w:rFonts w:ascii="Helvetica Neue" w:hAnsi="Helvetica Neue"/>
          <w:color w:val="050505"/>
          <w:sz w:val="22"/>
          <w:szCs w:val="22"/>
          <w:u w:color="050505"/>
          <w:shd w:val="clear" w:color="auto" w:fill="FFFFFF"/>
          <w:lang w:val="it-IT"/>
        </w:rPr>
        <w:t>aki Azpiazuk (HUB Advisoryko bazkideak) eta Javier Igarzak (Reiner Groupeko CEOak)</w:t>
      </w:r>
      <w:r>
        <w:rPr>
          <w:rStyle w:val="Ninguno"/>
          <w:rFonts w:ascii="Helvetica Neue" w:hAnsi="Helvetica Neue"/>
          <w:sz w:val="22"/>
          <w:szCs w:val="22"/>
        </w:rPr>
        <w:t>. Azken enpresa horrek ia 100 urteko esperientzia du plastikoak injektatzeko eta haizatzeko teknologietan, eta enpresaren eraldaketa-esperientzia azaldu du, negozioaren iraunkortasuna bultzatzeko jarduera-ildo berrietarantz.</w:t>
      </w:r>
    </w:p>
    <w:p w:rsidR="00BB1486" w:rsidRDefault="00000000">
      <w:pPr>
        <w:pStyle w:val="Cuerpo"/>
        <w:spacing w:after="120"/>
        <w:rPr>
          <w:rStyle w:val="Ninguno"/>
          <w:rFonts w:ascii="Helvetica Neue" w:eastAsia="Helvetica Neue" w:hAnsi="Helvetica Neue" w:cs="Helvetica Neue"/>
          <w:sz w:val="22"/>
          <w:szCs w:val="22"/>
        </w:rPr>
      </w:pPr>
      <w:r>
        <w:rPr>
          <w:rStyle w:val="Ninguno"/>
          <w:rFonts w:ascii="Helvetica Neue" w:hAnsi="Helvetica Neue"/>
          <w:sz w:val="22"/>
          <w:szCs w:val="22"/>
          <w:lang w:val="de-DE"/>
        </w:rPr>
        <w:t>Bestalde, Azpiazuk azpimarratu du DNA ekintzailea berreskuratu behar dela enpresaren barruan, eta enpresei beren ingurunetik eratorritako aukerak baliatzen laguntzeko egingo diren lan-saioak aurkeztu ditu, beren burua berrasmatzeko edo lehiarako abantailak sortzeko.</w:t>
      </w:r>
      <w:r>
        <w:rPr>
          <w:rStyle w:val="Ninguno"/>
          <w:rFonts w:ascii="Helvetica Neue" w:eastAsia="Helvetica Neue" w:hAnsi="Helvetica Neue" w:cs="Helvetica Neue"/>
          <w:sz w:val="22"/>
          <w:szCs w:val="22"/>
        </w:rPr>
        <w:br/>
      </w:r>
      <w:r>
        <w:rPr>
          <w:rStyle w:val="Ninguno"/>
          <w:rFonts w:ascii="Helvetica Neue" w:hAnsi="Helvetica Neue"/>
          <w:sz w:val="22"/>
          <w:szCs w:val="22"/>
          <w:lang w:val="it-IT"/>
        </w:rPr>
        <w:t>Lau saio horiek estrategiarekin, pertsonekin eta ingurunearekiko lotura duten alderdietan oinarrituko dira, parte hartzen duten enpresen errealitatearekin lan egin nahi duen ikuspegi praktiko batetik.</w:t>
      </w:r>
    </w:p>
    <w:p w:rsidR="00BB1486" w:rsidRDefault="00000000">
      <w:pPr>
        <w:pStyle w:val="Cuerpo"/>
        <w:spacing w:after="120"/>
        <w:rPr>
          <w:rStyle w:val="Ninguno"/>
        </w:rPr>
      </w:pPr>
      <w:r>
        <w:rPr>
          <w:rStyle w:val="Ninguno"/>
          <w:rFonts w:ascii="Helvetica Neue" w:hAnsi="Helvetica Neue"/>
        </w:rPr>
        <w:t xml:space="preserve">Topaketaren amaieran, Kepa Iribarrenek, ur industrialen tratamenduaren alorrean lan egiten duen Irungo Otari enpresako gerenteak, ekimenaren interesa azpimarratu du, </w:t>
      </w:r>
      <w:r>
        <w:rPr>
          <w:rStyle w:val="Ninguno"/>
          <w:rFonts w:ascii="Helvetica Neue" w:hAnsi="Helvetica Neue"/>
          <w:rtl/>
          <w:lang w:val="ar-SA"/>
        </w:rPr>
        <w:t>“</w:t>
      </w:r>
      <w:r>
        <w:rPr>
          <w:rStyle w:val="Ninguno"/>
          <w:rFonts w:ascii="Helvetica Neue" w:hAnsi="Helvetica Neue"/>
        </w:rPr>
        <w:t>gure beharrekin bat dator ekimen hau eta buruan ditugun ideia eta proiektuei aurre egiten lagun diezaguke”.</w:t>
      </w:r>
    </w:p>
    <w:p w:rsidR="00BB1486" w:rsidRDefault="00000000">
      <w:pPr>
        <w:pStyle w:val="CuerpoA"/>
        <w:spacing w:after="120"/>
        <w:rPr>
          <w:rStyle w:val="Ninguno"/>
        </w:rPr>
      </w:pPr>
      <w:r>
        <w:rPr>
          <w:rStyle w:val="Ninguno"/>
        </w:rPr>
        <w:t>Bidasoa Gunea Irun eta Hondarribiko Udalen arteko ekimen berria da, BIC Gipuzkoaren laguntzarekin Bidasoa biziriken bitartez abian jarri dena. Ekintzaileei laguntzeko eta Bidasoa-Txingudi eskualdean enpresa berrien sorrera eta enpresa barruko ekintzailetza bultzatzeko helburua du.</w:t>
      </w:r>
    </w:p>
    <w:p w:rsidR="00BB1486" w:rsidRDefault="00000000">
      <w:pPr>
        <w:pStyle w:val="CuerpoA"/>
        <w:spacing w:after="120"/>
        <w:rPr>
          <w:rStyle w:val="Ninguno"/>
          <w:color w:val="00A2FF"/>
          <w:u w:color="00A2FF"/>
        </w:rPr>
      </w:pPr>
      <w:r>
        <w:rPr>
          <w:rStyle w:val="Ninguno"/>
        </w:rPr>
        <w:t xml:space="preserve">Miguel Angel Paez Bidasoa biziko presidentearen iritziz, “Bidasoa Gunea abangoardiako ekosistema ekintzailea da, ideia berritzaileak sortzeko eta enpresa-proiektuak garatzeko diseinatua dagoena. Negozio-ideia duten pertsonei lagundu nahi diegu, baina enpresen barne-berrikuntza ere sustatu nahi dugu, negozio-aukera berrietarako sarbidea erraztuz. </w:t>
      </w:r>
    </w:p>
    <w:p w:rsidR="00BB1486" w:rsidRDefault="00000000">
      <w:pPr>
        <w:pStyle w:val="Cuerpo"/>
        <w:spacing w:after="120"/>
        <w:rPr>
          <w:rStyle w:val="Ninguno"/>
        </w:rPr>
      </w:pPr>
      <w:r>
        <w:rPr>
          <w:rStyle w:val="Ninguno"/>
          <w:rFonts w:ascii="Helvetica Neue" w:hAnsi="Helvetica Neue"/>
          <w:sz w:val="22"/>
          <w:szCs w:val="22"/>
        </w:rPr>
        <w:t xml:space="preserve">Bestalde, Maria Serrano Bidasoa Activako presidenteordearen iritziz, </w:t>
      </w:r>
      <w:r>
        <w:rPr>
          <w:rStyle w:val="Ninguno"/>
          <w:rFonts w:ascii="Helvetica Neue" w:hAnsi="Helvetica Neue"/>
          <w:sz w:val="22"/>
          <w:szCs w:val="22"/>
          <w:rtl/>
          <w:lang w:val="ar-SA"/>
        </w:rPr>
        <w:t>“</w:t>
      </w:r>
      <w:r>
        <w:rPr>
          <w:rStyle w:val="Ninguno"/>
          <w:rFonts w:ascii="Helvetica Neue" w:hAnsi="Helvetica Neue"/>
          <w:sz w:val="22"/>
          <w:szCs w:val="22"/>
        </w:rPr>
        <w:t xml:space="preserve">ekintzailetza funtsezkoa da hazkunde ekonomikorako, eta, horrez gain, gure lurraldean enplegua sortzeko, berritzeko eta aurrera egiteko aukera ere bada”. </w:t>
      </w:r>
    </w:p>
    <w:p w:rsidR="00BB1486" w:rsidRDefault="00000000">
      <w:pPr>
        <w:pStyle w:val="Cuerpo"/>
        <w:spacing w:after="120"/>
        <w:jc w:val="both"/>
        <w:rPr>
          <w:rStyle w:val="Ninguno"/>
          <w:rFonts w:ascii="Helvetica Neue" w:eastAsia="Helvetica Neue" w:hAnsi="Helvetica Neue" w:cs="Helvetica Neue"/>
          <w:b/>
          <w:bCs/>
          <w:sz w:val="22"/>
          <w:szCs w:val="22"/>
        </w:rPr>
      </w:pPr>
      <w:r>
        <w:rPr>
          <w:rStyle w:val="Ninguno"/>
          <w:rFonts w:ascii="Helvetica Neue" w:hAnsi="Helvetica Neue"/>
          <w:b/>
          <w:bCs/>
          <w:sz w:val="22"/>
          <w:szCs w:val="22"/>
        </w:rPr>
        <w:t>Bidasoa bizirik: Garapen ekonomikoa bultzatzen eta aukerak sortzen</w:t>
      </w:r>
    </w:p>
    <w:p w:rsidR="00BB1486" w:rsidRDefault="00000000">
      <w:pPr>
        <w:pStyle w:val="Cuerpo"/>
        <w:spacing w:after="120"/>
        <w:jc w:val="both"/>
        <w:rPr>
          <w:rStyle w:val="Ninguno"/>
          <w:rFonts w:ascii="Helvetica Neue" w:eastAsia="Helvetica Neue" w:hAnsi="Helvetica Neue" w:cs="Helvetica Neue"/>
          <w:sz w:val="22"/>
          <w:szCs w:val="22"/>
        </w:rPr>
      </w:pPr>
      <w:r>
        <w:rPr>
          <w:rStyle w:val="Ninguno"/>
          <w:rFonts w:ascii="Helvetica Neue" w:hAnsi="Helvetica Neue"/>
          <w:sz w:val="22"/>
          <w:szCs w:val="22"/>
        </w:rPr>
        <w:lastRenderedPageBreak/>
        <w:t>Bidasoa bizirik Irun eta Hondarribiko Udalek bultzatutako erakundea da, Bidasoa eskualdean garapen ekonomikoa eta enpleguaren sorrera sustatzen duena. Bere helburua enpresen hazkundea eta kalitatezko enplegua sustatzea da eta tokiko enpresen lehiakortasuna hobetzea. Ekimen berritzaileen eta laguntza-programen bidez, enpresa-sektorearekin eta lan-ekosistemako eragileekin lankidetzan dihardu, enplegurako eta ekintzailetzarako ingurune egokia sortzeko.</w:t>
      </w:r>
    </w:p>
    <w:p w:rsidR="00BB1486" w:rsidRDefault="00000000">
      <w:pPr>
        <w:pStyle w:val="Cuerpo"/>
        <w:spacing w:after="120"/>
        <w:jc w:val="both"/>
      </w:pPr>
      <w:r>
        <w:rPr>
          <w:rStyle w:val="Ninguno"/>
          <w:rFonts w:ascii="Helvetica Neue" w:hAnsi="Helvetica Neue"/>
          <w:sz w:val="22"/>
          <w:szCs w:val="22"/>
        </w:rPr>
        <w:t>Ekonomiaren eta gizartearen aurrerapenean laguntzea du helburu, eskualdean eragin positiboa sortuz eta biztanleen bizi-kalitatea hobetuz. Jarduera-arlo nagusiak honako hauek dira: ekintzailetza, lehiakortasuna eta berrikuntza, formakuntza eta enplegua, hiri-behatokia, turismoa eta Bidasoa Txingudi Mugaz gaindiko Partzuergoaren jarduera-eremua.</w:t>
      </w:r>
    </w:p>
    <w:sectPr w:rsidR="00BB1486">
      <w:headerReference w:type="default" r:id="rId6"/>
      <w:footerReference w:type="default" r:id="rId7"/>
      <w:pgSz w:w="11900" w:h="16840"/>
      <w:pgMar w:top="2520" w:right="1134" w:bottom="1134" w:left="1134" w:header="709" w:footer="85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FB215D" w:rsidRDefault="00FB215D">
      <w:r>
        <w:separator/>
      </w:r>
    </w:p>
  </w:endnote>
  <w:endnote w:type="continuationSeparator" w:id="0">
    <w:p w:rsidR="00FB215D" w:rsidRDefault="00FB21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panose1 w:val="02000503000000020004"/>
    <w:charset w:val="00"/>
    <w:family w:val="auto"/>
    <w:pitch w:val="variable"/>
    <w:sig w:usb0="E50002FF" w:usb1="500079DB" w:usb2="00000010" w:usb3="00000000" w:csb0="00000001" w:csb1="00000000"/>
  </w:font>
  <w:font w:name="Helvetica Neue Thin">
    <w:panose1 w:val="020B0403020202020204"/>
    <w:charset w:val="00"/>
    <w:family w:val="swiss"/>
    <w:pitch w:val="variable"/>
    <w:sig w:usb0="E00002EF" w:usb1="5000205B" w:usb2="00000002"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B1486" w:rsidRDefault="00BB1486">
    <w:pPr>
      <w:pStyle w:val="Cabeceraypi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FB215D" w:rsidRDefault="00FB215D">
      <w:r>
        <w:separator/>
      </w:r>
    </w:p>
  </w:footnote>
  <w:footnote w:type="continuationSeparator" w:id="0">
    <w:p w:rsidR="00FB215D" w:rsidRDefault="00FB21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B1486" w:rsidRDefault="00000000">
    <w:pPr>
      <w:pStyle w:val="CuerpoB"/>
    </w:pPr>
    <w:r>
      <w:rPr>
        <w:noProof/>
      </w:rPr>
      <w:drawing>
        <wp:anchor distT="152400" distB="152400" distL="152400" distR="152400" simplePos="0" relativeHeight="251658240" behindDoc="1" locked="0" layoutInCell="1" allowOverlap="1">
          <wp:simplePos x="0" y="0"/>
          <wp:positionH relativeFrom="page">
            <wp:posOffset>715072</wp:posOffset>
          </wp:positionH>
          <wp:positionV relativeFrom="page">
            <wp:posOffset>427776</wp:posOffset>
          </wp:positionV>
          <wp:extent cx="738193" cy="712765"/>
          <wp:effectExtent l="0" t="0" r="0" b="0"/>
          <wp:wrapNone/>
          <wp:docPr id="1073741825" name="officeArt object" descr="Logotipo-Bidasoa-Activa.jpg"/>
          <wp:cNvGraphicFramePr/>
          <a:graphic xmlns:a="http://schemas.openxmlformats.org/drawingml/2006/main">
            <a:graphicData uri="http://schemas.openxmlformats.org/drawingml/2006/picture">
              <pic:pic xmlns:pic="http://schemas.openxmlformats.org/drawingml/2006/picture">
                <pic:nvPicPr>
                  <pic:cNvPr id="1073741825" name="Logotipo-Bidasoa-Activa.jpg" descr="Logotipo-Bidasoa-Activa.jpg"/>
                  <pic:cNvPicPr>
                    <a:picLocks noChangeAspect="1"/>
                  </pic:cNvPicPr>
                </pic:nvPicPr>
                <pic:blipFill>
                  <a:blip r:embed="rId1"/>
                  <a:stretch>
                    <a:fillRect/>
                  </a:stretch>
                </pic:blipFill>
                <pic:spPr>
                  <a:xfrm>
                    <a:off x="0" y="0"/>
                    <a:ext cx="738193" cy="712765"/>
                  </a:xfrm>
                  <a:prstGeom prst="rect">
                    <a:avLst/>
                  </a:prstGeom>
                  <a:ln w="12700" cap="flat">
                    <a:noFill/>
                    <a:miter lim="400000"/>
                  </a:ln>
                  <a:effectLst/>
                </pic:spPr>
              </pic:pic>
            </a:graphicData>
          </a:graphic>
        </wp:anchor>
      </w:drawing>
    </w:r>
    <w:r>
      <w:rPr>
        <w:noProof/>
      </w:rPr>
      <mc:AlternateContent>
        <mc:Choice Requires="wps">
          <w:drawing>
            <wp:anchor distT="152400" distB="152400" distL="152400" distR="152400" simplePos="0" relativeHeight="251659264" behindDoc="1" locked="0" layoutInCell="1" allowOverlap="1">
              <wp:simplePos x="0" y="0"/>
              <wp:positionH relativeFrom="page">
                <wp:posOffset>5205321</wp:posOffset>
              </wp:positionH>
              <wp:positionV relativeFrom="page">
                <wp:posOffset>522872</wp:posOffset>
              </wp:positionV>
              <wp:extent cx="1699567" cy="568781"/>
              <wp:effectExtent l="0" t="0" r="0" b="0"/>
              <wp:wrapNone/>
              <wp:docPr id="1073741826" name="officeArt object" descr="Prentsa Oharra • Nota de Prensa • Prentsa Oharra • Nota de Prensa • Prentsa Oharra"/>
              <wp:cNvGraphicFramePr/>
              <a:graphic xmlns:a="http://schemas.openxmlformats.org/drawingml/2006/main">
                <a:graphicData uri="http://schemas.microsoft.com/office/word/2010/wordprocessingShape">
                  <wps:wsp>
                    <wps:cNvSpPr txBox="1"/>
                    <wps:spPr>
                      <a:xfrm>
                        <a:off x="0" y="0"/>
                        <a:ext cx="1699567" cy="568781"/>
                      </a:xfrm>
                      <a:prstGeom prst="rect">
                        <a:avLst/>
                      </a:prstGeom>
                      <a:noFill/>
                      <a:ln w="12700" cap="flat">
                        <a:noFill/>
                        <a:miter lim="400000"/>
                      </a:ln>
                      <a:effectLst/>
                    </wps:spPr>
                    <wps:txbx>
                      <w:txbxContent>
                        <w:p w:rsidR="00BB1486" w:rsidRDefault="00000000">
                          <w:pPr>
                            <w:pStyle w:val="Poromisin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s>
                            <w:spacing w:before="0" w:line="240" w:lineRule="auto"/>
                            <w:rPr>
                              <w:rStyle w:val="Ninguno"/>
                              <w:b/>
                              <w:bCs/>
                              <w:spacing w:val="12"/>
                              <w:sz w:val="32"/>
                              <w:szCs w:val="32"/>
                              <w:u w:color="929292"/>
                            </w:rPr>
                          </w:pPr>
                          <w:r>
                            <w:rPr>
                              <w:rStyle w:val="Ninguno"/>
                              <w:b/>
                              <w:bCs/>
                              <w:spacing w:val="12"/>
                              <w:sz w:val="32"/>
                              <w:szCs w:val="32"/>
                              <w:u w:color="929292"/>
                            </w:rPr>
                            <w:t>Prentsa Oharra</w:t>
                          </w:r>
                        </w:p>
                        <w:p w:rsidR="00BB1486" w:rsidRDefault="00000000">
                          <w:pPr>
                            <w:pStyle w:val="Subttulo"/>
                          </w:pPr>
                          <w:r>
                            <w:rPr>
                              <w:rStyle w:val="Ninguno"/>
                              <w:rFonts w:ascii="Helvetica Neue Thin" w:hAnsi="Helvetica Neue Thin"/>
                              <w:spacing w:val="-1"/>
                              <w:sz w:val="32"/>
                              <w:szCs w:val="32"/>
                              <w:u w:color="929292"/>
                              <w:lang w:val="pt-PT"/>
                            </w:rPr>
                            <w:t>Nota de Prensa</w:t>
                          </w:r>
                        </w:p>
                      </w:txbxContent>
                    </wps:txbx>
                    <wps:bodyPr wrap="square" lIns="50800" tIns="50800" rIns="50800" bIns="50800" numCol="1" anchor="t">
                      <a:noAutofit/>
                    </wps:bodyPr>
                  </wps:wsp>
                </a:graphicData>
              </a:graphic>
            </wp:anchor>
          </w:drawing>
        </mc:Choice>
        <mc:Fallback>
          <w:pict>
            <v:shape id="_x0000_s1026" type="#_x0000_t202" style="visibility:visible;position:absolute;margin-left:409.9pt;margin-top:41.2pt;width:133.8pt;height:44.8pt;z-index:-251657216;mso-position-horizontal:absolute;mso-position-horizontal-relative:page;mso-position-vertical:absolute;mso-position-vertical-relative:page;mso-wrap-distance-left:12.0pt;mso-wrap-distance-top:12.0pt;mso-wrap-distance-right:12.0pt;mso-wrap-distance-bottom:12.0pt;">
              <v:fill on="f"/>
              <v:stroke on="f" weight="1.0pt" dashstyle="solid" endcap="flat" miterlimit="400.0%" joinstyle="miter" linestyle="single" startarrow="none" startarrowwidth="medium" startarrowlength="medium" endarrow="none" endarrowwidth="medium" endarrowlength="medium"/>
              <v:textbox>
                <w:txbxContent>
                  <w:p>
                    <w:pPr>
                      <w:pStyle w:val="Por omisión 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s>
                      <w:spacing w:before="0" w:line="240" w:lineRule="auto"/>
                      <w:rPr>
                        <w:rStyle w:val="Ninguno"/>
                        <w:b w:val="1"/>
                        <w:bCs w:val="1"/>
                        <w:spacing w:val="12"/>
                        <w:sz w:val="32"/>
                        <w:szCs w:val="32"/>
                        <w:u w:color="929292"/>
                      </w:rPr>
                    </w:pPr>
                    <w:r>
                      <w:rPr>
                        <w:rStyle w:val="Ninguno"/>
                        <w:b w:val="1"/>
                        <w:bCs w:val="1"/>
                        <w:spacing w:val="12"/>
                        <w:sz w:val="32"/>
                        <w:szCs w:val="32"/>
                        <w:u w:color="929292"/>
                        <w:rtl w:val="0"/>
                        <w:lang w:val="es-ES_tradnl"/>
                      </w:rPr>
                      <w:t>Prentsa Oharra</w:t>
                    </w:r>
                  </w:p>
                  <w:p>
                    <w:pPr>
                      <w:pStyle w:val="Subtitle"/>
                    </w:pPr>
                    <w:r>
                      <w:rPr>
                        <w:rStyle w:val="Ninguno"/>
                        <w:rFonts w:ascii="Helvetica Neue Thin" w:hAnsi="Helvetica Neue Thin"/>
                        <w:spacing w:val="-1"/>
                        <w:sz w:val="32"/>
                        <w:szCs w:val="32"/>
                        <w:u w:color="929292"/>
                        <w:rtl w:val="0"/>
                        <w:lang w:val="pt-PT"/>
                        <w14:textOutline w14:w="12700" w14:cap="flat">
                          <w14:noFill/>
                          <w14:miter w14:lim="400000"/>
                        </w14:textOutline>
                      </w:rPr>
                      <w:t>Nota de Prensa</w:t>
                    </w:r>
                  </w:p>
                </w:txbxContent>
              </v:textbox>
              <w10:wrap type="none" side="bothSides" anchorx="page" anchory="page"/>
            </v:shape>
          </w:pict>
        </mc:Fallback>
      </mc:AlternateContent>
    </w:r>
    <w:r>
      <w:rPr>
        <w:noProof/>
      </w:rPr>
      <mc:AlternateContent>
        <mc:Choice Requires="wps">
          <w:drawing>
            <wp:anchor distT="152400" distB="152400" distL="152400" distR="152400" simplePos="0" relativeHeight="251660288" behindDoc="1" locked="0" layoutInCell="1" allowOverlap="1">
              <wp:simplePos x="0" y="0"/>
              <wp:positionH relativeFrom="page">
                <wp:posOffset>5257193</wp:posOffset>
              </wp:positionH>
              <wp:positionV relativeFrom="page">
                <wp:posOffset>1127863</wp:posOffset>
              </wp:positionV>
              <wp:extent cx="1566084" cy="0"/>
              <wp:effectExtent l="0" t="0" r="0" b="0"/>
              <wp:wrapNone/>
              <wp:docPr id="1073741827" name="officeArt object" descr="Línea"/>
              <wp:cNvGraphicFramePr/>
              <a:graphic xmlns:a="http://schemas.openxmlformats.org/drawingml/2006/main">
                <a:graphicData uri="http://schemas.microsoft.com/office/word/2010/wordprocessingShape">
                  <wps:wsp>
                    <wps:cNvCnPr/>
                    <wps:spPr>
                      <a:xfrm>
                        <a:off x="0" y="0"/>
                        <a:ext cx="1566084" cy="0"/>
                      </a:xfrm>
                      <a:prstGeom prst="line">
                        <a:avLst/>
                      </a:prstGeom>
                      <a:noFill/>
                      <a:ln w="25400" cap="flat">
                        <a:solidFill>
                          <a:srgbClr val="000000"/>
                        </a:solidFill>
                        <a:prstDash val="solid"/>
                        <a:miter lim="400000"/>
                      </a:ln>
                      <a:effectLst/>
                    </wps:spPr>
                    <wps:bodyPr/>
                  </wps:wsp>
                </a:graphicData>
              </a:graphic>
            </wp:anchor>
          </w:drawing>
        </mc:Choice>
        <mc:Fallback>
          <w:pict>
            <v:line id="_x0000_s1027" style="visibility:visible;position:absolute;margin-left:414.0pt;margin-top:88.8pt;width:123.3pt;height:0.0pt;z-index:-251656192;mso-position-horizontal:absolute;mso-position-horizontal-relative:page;mso-position-vertical:absolute;mso-position-vertical-relative:page;mso-wrap-distance-left:12.0pt;mso-wrap-distance-top:12.0pt;mso-wrap-distance-right:12.0pt;mso-wrap-distance-bottom:12.0pt;">
              <v:fill on="f"/>
              <v:stroke filltype="solid" color="#000000" opacity="100.0%" weight="2.0pt" dashstyle="solid" endcap="flat" miterlimit="400.0%" joinstyle="miter" linestyle="single" startarrow="none" startarrowwidth="medium" startarrowlength="medium" endarrow="none" endarrowwidth="medium" endarrowlength="medium"/>
              <w10:wrap type="none" side="bothSides" anchorx="page" anchory="page"/>
            </v:line>
          </w:pict>
        </mc:Fallback>
      </mc:AlternateContent>
    </w:r>
    <w:r>
      <w:rPr>
        <w:noProof/>
      </w:rPr>
      <mc:AlternateContent>
        <mc:Choice Requires="wps">
          <w:drawing>
            <wp:anchor distT="152400" distB="152400" distL="152400" distR="152400" simplePos="0" relativeHeight="251661312" behindDoc="1" locked="0" layoutInCell="1" allowOverlap="1">
              <wp:simplePos x="0" y="0"/>
              <wp:positionH relativeFrom="page">
                <wp:posOffset>5257193</wp:posOffset>
              </wp:positionH>
              <wp:positionV relativeFrom="page">
                <wp:posOffset>442062</wp:posOffset>
              </wp:positionV>
              <wp:extent cx="1566084" cy="0"/>
              <wp:effectExtent l="0" t="0" r="0" b="0"/>
              <wp:wrapNone/>
              <wp:docPr id="1073741828" name="officeArt object" descr="Línea"/>
              <wp:cNvGraphicFramePr/>
              <a:graphic xmlns:a="http://schemas.openxmlformats.org/drawingml/2006/main">
                <a:graphicData uri="http://schemas.microsoft.com/office/word/2010/wordprocessingShape">
                  <wps:wsp>
                    <wps:cNvCnPr/>
                    <wps:spPr>
                      <a:xfrm>
                        <a:off x="0" y="0"/>
                        <a:ext cx="1566084" cy="0"/>
                      </a:xfrm>
                      <a:prstGeom prst="line">
                        <a:avLst/>
                      </a:prstGeom>
                      <a:noFill/>
                      <a:ln w="3175" cap="flat">
                        <a:solidFill>
                          <a:srgbClr val="000000"/>
                        </a:solidFill>
                        <a:prstDash val="solid"/>
                        <a:miter lim="400000"/>
                      </a:ln>
                      <a:effectLst/>
                    </wps:spPr>
                    <wps:bodyPr/>
                  </wps:wsp>
                </a:graphicData>
              </a:graphic>
            </wp:anchor>
          </w:drawing>
        </mc:Choice>
        <mc:Fallback>
          <w:pict>
            <v:line id="_x0000_s1028" style="visibility:visible;position:absolute;margin-left:414.0pt;margin-top:34.8pt;width:123.3pt;height:0.0pt;z-index:-251655168;mso-position-horizontal:absolute;mso-position-horizontal-relative:page;mso-position-vertical:absolute;mso-position-vertical-relative:page;mso-wrap-distance-left:12.0pt;mso-wrap-distance-top:12.0pt;mso-wrap-distance-right:12.0pt;mso-wrap-distance-bottom:12.0pt;">
              <v:fill on="f"/>
              <v:stroke filltype="solid" color="#000000" opacity="100.0%" weight="0.2pt" dashstyle="solid" endcap="flat" miterlimit="400.0%" joinstyle="miter" linestyle="single" startarrow="none" startarrowwidth="medium" startarrowlength="medium" endarrow="none" endarrowwidth="medium" endarrowlength="medium"/>
              <w10:wrap type="none" side="bothSides" anchorx="page" anchory="page"/>
            </v:lin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4"/>
  <w:displayBackgroundShape/>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1486"/>
    <w:rsid w:val="00BB1486"/>
    <w:rsid w:val="00C77E6C"/>
    <w:rsid w:val="00FB215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ecimalSymbol w:val=","/>
  <w:listSeparator w:val=";"/>
  <w14:docId w14:val="41A062D3"/>
  <w15:docId w15:val="{F75085DC-396B-874D-BC30-973E6D9D28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_tradnl"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U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CuerpoB">
    <w:name w:val="Cuerpo B"/>
    <w:rPr>
      <w:rFonts w:cs="Arial Unicode MS"/>
      <w:color w:val="000000"/>
      <w:sz w:val="24"/>
      <w:szCs w:val="24"/>
      <w:u w:color="000000"/>
      <w:lang w:val="es-ES_tradnl"/>
      <w14:textOutline w14:w="12700" w14:cap="flat" w14:cmpd="sng" w14:algn="ctr">
        <w14:noFill/>
        <w14:prstDash w14:val="solid"/>
        <w14:miter w14:lim="400000"/>
      </w14:textOutline>
    </w:rPr>
  </w:style>
  <w:style w:type="paragraph" w:customStyle="1" w:styleId="PoromisinA">
    <w:name w:val="Por omisión A"/>
    <w:pPr>
      <w:spacing w:before="160" w:line="288" w:lineRule="auto"/>
    </w:pPr>
    <w:rPr>
      <w:rFonts w:ascii="Helvetica Neue" w:hAnsi="Helvetica Neue" w:cs="Arial Unicode MS"/>
      <w:color w:val="000000"/>
      <w:sz w:val="24"/>
      <w:szCs w:val="24"/>
      <w:u w:color="000000"/>
      <w:lang w:val="es-ES_tradnl"/>
      <w14:textOutline w14:w="12700" w14:cap="flat" w14:cmpd="sng" w14:algn="ctr">
        <w14:noFill/>
        <w14:prstDash w14:val="solid"/>
        <w14:miter w14:lim="400000"/>
      </w14:textOutline>
    </w:rPr>
  </w:style>
  <w:style w:type="character" w:customStyle="1" w:styleId="Ninguno">
    <w:name w:val="Ninguno"/>
    <w:rPr>
      <w:lang w:val="es-ES_tradnl"/>
    </w:rPr>
  </w:style>
  <w:style w:type="paragraph" w:styleId="Subttulo">
    <w:name w:val="Subtitle"/>
    <w:next w:val="CuerpoB"/>
    <w:uiPriority w:val="11"/>
    <w:qFormat/>
    <w:pPr>
      <w:keepNext/>
    </w:pPr>
    <w:rPr>
      <w:rFonts w:ascii="Helvetica Neue" w:hAnsi="Helvetica Neue" w:cs="Arial Unicode MS"/>
      <w:color w:val="000000"/>
      <w:sz w:val="40"/>
      <w:szCs w:val="40"/>
      <w:u w:color="000000"/>
      <w:lang w:val="pt-PT"/>
      <w14:textOutline w14:w="12700" w14:cap="flat" w14:cmpd="sng" w14:algn="ctr">
        <w14:noFill/>
        <w14:prstDash w14:val="solid"/>
        <w14:miter w14:lim="400000"/>
      </w14:textOutline>
    </w:rPr>
  </w:style>
  <w:style w:type="paragraph" w:customStyle="1" w:styleId="Cabeceraypie">
    <w:name w:val="Cabecera y pie"/>
    <w:pPr>
      <w:tabs>
        <w:tab w:val="right" w:pos="9020"/>
      </w:tabs>
    </w:pPr>
    <w:rPr>
      <w:rFonts w:ascii="Helvetica Neue" w:eastAsia="Helvetica Neue" w:hAnsi="Helvetica Neue" w:cs="Helvetica Neue"/>
      <w:color w:val="000000"/>
      <w:sz w:val="24"/>
      <w:szCs w:val="24"/>
      <w14:textOutline w14:w="0" w14:cap="flat" w14:cmpd="sng" w14:algn="ctr">
        <w14:noFill/>
        <w14:prstDash w14:val="solid"/>
        <w14:bevel/>
      </w14:textOutline>
    </w:rPr>
  </w:style>
  <w:style w:type="paragraph" w:customStyle="1" w:styleId="CuerpoA">
    <w:name w:val="Cuerpo A"/>
    <w:rPr>
      <w:rFonts w:ascii="Helvetica Neue" w:hAnsi="Helvetica Neue" w:cs="Arial Unicode MS"/>
      <w:color w:val="000000"/>
      <w:sz w:val="22"/>
      <w:szCs w:val="22"/>
      <w:u w:color="000000"/>
      <w:lang w:val="es-ES_tradnl"/>
      <w14:textOutline w14:w="12700" w14:cap="flat" w14:cmpd="sng" w14:algn="ctr">
        <w14:noFill/>
        <w14:prstDash w14:val="solid"/>
        <w14:miter w14:lim="400000"/>
      </w14:textOutline>
    </w:rPr>
  </w:style>
  <w:style w:type="paragraph" w:customStyle="1" w:styleId="Cuerpo">
    <w:name w:val="Cuerpo"/>
    <w:rPr>
      <w:rFonts w:eastAsia="Times New Roman"/>
      <w:color w:val="000000"/>
      <w:sz w:val="24"/>
      <w:szCs w:val="24"/>
      <w:u w:color="000000"/>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Blank">
  <a:themeElements>
    <a:clrScheme name="Blank">
      <a:dk1>
        <a:srgbClr val="000000"/>
      </a:dk1>
      <a:lt1>
        <a:srgbClr val="FFFFFF"/>
      </a:lt1>
      <a:dk2>
        <a:srgbClr val="A7A7A7"/>
      </a:dk2>
      <a:lt2>
        <a:srgbClr val="535353"/>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50800" tIns="50800" rIns="50800" bIns="50800"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569</Words>
  <Characters>3131</Characters>
  <Application>Microsoft Office Word</Application>
  <DocSecurity>0</DocSecurity>
  <Lines>26</Lines>
  <Paragraphs>7</Paragraphs>
  <ScaleCrop>false</ScaleCrop>
  <Company/>
  <LinksUpToDate>false</LinksUpToDate>
  <CharactersWithSpaces>3693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Microsoft Office User</cp:lastModifiedBy>
  <cp:revision>2</cp:revision>
  <dcterms:created xsi:type="dcterms:W3CDTF">2023-05-24T17:29:00Z</dcterms:created>
  <dcterms:modified xsi:type="dcterms:W3CDTF">2023-05-24T17:29:00Z</dcterms:modified>
</cp:coreProperties>
</file>