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D3BB2" w:rsidRDefault="00000000">
      <w:pPr>
        <w:pStyle w:val="CuerpoA"/>
        <w:spacing w:after="240"/>
        <w:rPr>
          <w:rStyle w:val="Ninguno"/>
          <w:rFonts w:ascii="Arial Unicode MS" w:hAnsi="Arial Unicode MS"/>
          <w:sz w:val="36"/>
          <w:szCs w:val="36"/>
        </w:rPr>
      </w:pPr>
      <w:r>
        <w:rPr>
          <w:rStyle w:val="Ninguno"/>
          <w:b/>
          <w:bCs/>
          <w:sz w:val="36"/>
          <w:szCs w:val="36"/>
        </w:rPr>
        <w:t xml:space="preserve">Bidasoa </w:t>
      </w:r>
      <w:proofErr w:type="spellStart"/>
      <w:r>
        <w:rPr>
          <w:rStyle w:val="Ninguno"/>
          <w:b/>
          <w:bCs/>
          <w:sz w:val="36"/>
          <w:szCs w:val="36"/>
        </w:rPr>
        <w:t>Gunea</w:t>
      </w:r>
      <w:proofErr w:type="spellEnd"/>
      <w:r>
        <w:rPr>
          <w:rStyle w:val="Ninguno"/>
          <w:b/>
          <w:bCs/>
          <w:sz w:val="36"/>
          <w:szCs w:val="36"/>
        </w:rPr>
        <w:t xml:space="preserve"> arranca su actividad </w:t>
      </w:r>
      <w:r>
        <w:rPr>
          <w:rStyle w:val="Ninguno"/>
          <w:b/>
          <w:bCs/>
          <w:sz w:val="36"/>
          <w:szCs w:val="36"/>
        </w:rPr>
        <w:br/>
        <w:t>impulsando el ADN emprendedor de las empresas</w:t>
      </w:r>
    </w:p>
    <w:p w:rsidR="009D3BB2" w:rsidRDefault="00000000">
      <w:pPr>
        <w:pStyle w:val="CuerpoA"/>
        <w:spacing w:after="120"/>
      </w:pPr>
      <w:r>
        <w:rPr>
          <w:rStyle w:val="Ninguno"/>
          <w:sz w:val="28"/>
          <w:szCs w:val="28"/>
          <w:u w:color="008000"/>
        </w:rPr>
        <w:t>Este espacio incentivará la creación de nuevas empresas y proyectos con potencial innovador</w:t>
      </w:r>
    </w:p>
    <w:p w:rsidR="009D3BB2" w:rsidRDefault="00000000">
      <w:pPr>
        <w:pStyle w:val="CuerpoA"/>
        <w:spacing w:after="120"/>
        <w:rPr>
          <w:rStyle w:val="Ninguno"/>
          <w:rFonts w:ascii="Arial Unicode MS" w:hAnsi="Arial Unicode MS"/>
        </w:rPr>
      </w:pPr>
      <w:proofErr w:type="spellStart"/>
      <w:r>
        <w:rPr>
          <w:rStyle w:val="Ninguno"/>
        </w:rPr>
        <w:t>Irun</w:t>
      </w:r>
      <w:proofErr w:type="spellEnd"/>
      <w:r>
        <w:rPr>
          <w:rStyle w:val="Ninguno"/>
        </w:rPr>
        <w:t xml:space="preserve">, </w:t>
      </w:r>
      <w:r w:rsidR="00AC01E9">
        <w:rPr>
          <w:rStyle w:val="Ninguno"/>
        </w:rPr>
        <w:t>25</w:t>
      </w:r>
      <w:r>
        <w:rPr>
          <w:rStyle w:val="Ninguno"/>
        </w:rPr>
        <w:t xml:space="preserve"> de mayo de 2023.- </w:t>
      </w:r>
      <w:r>
        <w:rPr>
          <w:rStyle w:val="Ninguno"/>
          <w:b/>
          <w:bCs/>
        </w:rPr>
        <w:t xml:space="preserve">Un grupo de empresas de la comarca, con actividad en diferentes sectores, ha participado esta semana en la primera iniciativa de Bidasoa </w:t>
      </w:r>
      <w:proofErr w:type="spellStart"/>
      <w:r>
        <w:rPr>
          <w:rStyle w:val="Ninguno"/>
          <w:b/>
          <w:bCs/>
        </w:rPr>
        <w:t>Gunea</w:t>
      </w:r>
      <w:proofErr w:type="spellEnd"/>
      <w:r>
        <w:rPr>
          <w:rStyle w:val="Ninguno"/>
          <w:b/>
          <w:bCs/>
        </w:rPr>
        <w:t xml:space="preserve"> dirigida a activar su propio potencial emprendedor como vía para reforzar la innovación y la competitividad. Esta actividad tendrá su continuidad con el programa ‘Empresa emprendedora’ que se desarrollará en cuatro sesiones entre el 30 de mayo y el 20 de junio y que </w:t>
      </w:r>
      <w:proofErr w:type="spellStart"/>
      <w:r>
        <w:rPr>
          <w:rStyle w:val="Ninguno"/>
          <w:b/>
          <w:bCs/>
        </w:rPr>
        <w:t>esta</w:t>
      </w:r>
      <w:proofErr w:type="spellEnd"/>
      <w:r>
        <w:rPr>
          <w:rStyle w:val="Ninguno"/>
          <w:b/>
          <w:bCs/>
        </w:rPr>
        <w:t xml:space="preserve"> abierto a la participación de las pymes interesadas.</w:t>
      </w:r>
    </w:p>
    <w:p w:rsidR="009D3BB2" w:rsidRDefault="00000000">
      <w:pPr>
        <w:pStyle w:val="CuerpoA"/>
        <w:spacing w:after="120"/>
        <w:rPr>
          <w:rStyle w:val="Ninguno"/>
          <w:rFonts w:ascii="Arial Unicode MS" w:hAnsi="Arial Unicode MS"/>
        </w:rPr>
      </w:pPr>
      <w:r>
        <w:rPr>
          <w:rStyle w:val="Ninguno"/>
        </w:rPr>
        <w:t xml:space="preserve">La sesión celebrada esta semana ha servido para compartir experiencias y conocer las herramientas y programas de ayuda disponibles para acompañar a las empresas en su estrategia </w:t>
      </w:r>
      <w:proofErr w:type="spellStart"/>
      <w:r>
        <w:rPr>
          <w:rStyle w:val="Ninguno"/>
        </w:rPr>
        <w:t>intraemprendora</w:t>
      </w:r>
      <w:proofErr w:type="spellEnd"/>
      <w:r>
        <w:rPr>
          <w:rStyle w:val="Ninguno"/>
        </w:rPr>
        <w:t>.</w:t>
      </w:r>
    </w:p>
    <w:p w:rsidR="009D3BB2" w:rsidRDefault="00000000">
      <w:pPr>
        <w:pStyle w:val="CuerpoA"/>
        <w:spacing w:after="120"/>
      </w:pPr>
      <w:r>
        <w:rPr>
          <w:rStyle w:val="Ninguno"/>
        </w:rPr>
        <w:t xml:space="preserve">En el encuentro han participado, junto a responsables de Bidasoa activa y BIC Gipuzkoa, Iñaki Azpiazu, socio de HUB </w:t>
      </w:r>
      <w:proofErr w:type="spellStart"/>
      <w:r>
        <w:rPr>
          <w:rStyle w:val="Ninguno"/>
        </w:rPr>
        <w:t>Advisory</w:t>
      </w:r>
      <w:proofErr w:type="spellEnd"/>
      <w:r>
        <w:rPr>
          <w:rStyle w:val="Ninguno"/>
        </w:rPr>
        <w:t xml:space="preserve">, y Javier Igarza, CEO de Reiner </w:t>
      </w:r>
      <w:proofErr w:type="spellStart"/>
      <w:r>
        <w:rPr>
          <w:rStyle w:val="Ninguno"/>
        </w:rPr>
        <w:t>Group</w:t>
      </w:r>
      <w:proofErr w:type="spellEnd"/>
      <w:r>
        <w:rPr>
          <w:rStyle w:val="Ninguno"/>
        </w:rPr>
        <w:t>, una empresa con casi 100 años de experiencia en tecnologías de inyección y soplado de plásticos, que ha relatado la experiencia transformadora de su empresa hacia nuevas líneas de actividad para propiciar la sostenibilidad del negocio.</w:t>
      </w:r>
    </w:p>
    <w:p w:rsidR="009D3BB2" w:rsidRDefault="00000000">
      <w:pPr>
        <w:pStyle w:val="CuerpoA"/>
        <w:spacing w:after="120"/>
      </w:pPr>
      <w:r>
        <w:rPr>
          <w:rStyle w:val="Ninguno"/>
        </w:rPr>
        <w:t>Por su parte, Azpiazu ha insistido en la necesidad de recuperar el ADN emprendedor dentro de la empresa y presentado las sesiones de trabajo que se llevarán a cabo para ayudar a las empresas a aprovechar las oportunidades derivadas de su entorno para reinventarse o generar ventajas competitivas.</w:t>
      </w:r>
    </w:p>
    <w:p w:rsidR="009D3BB2" w:rsidRDefault="00000000">
      <w:pPr>
        <w:pStyle w:val="CuerpoA"/>
        <w:spacing w:after="120"/>
      </w:pPr>
      <w:r>
        <w:rPr>
          <w:rStyle w:val="Ninguno"/>
        </w:rPr>
        <w:t>Estas cuatro sesiones se centrarán en aspectos relacionados con estrategia, personas, procesos y conexión con el entorno desde una visión práctica que pretende trabajar con la realidad de las empresas participantes.</w:t>
      </w:r>
    </w:p>
    <w:p w:rsidR="009D3BB2" w:rsidRDefault="00000000">
      <w:pPr>
        <w:pStyle w:val="CuerpoA"/>
        <w:spacing w:after="120"/>
      </w:pPr>
      <w:r>
        <w:rPr>
          <w:rStyle w:val="Ninguno"/>
        </w:rPr>
        <w:t xml:space="preserve">Al término del encuentro, Kepa Iribarren, gerente de </w:t>
      </w:r>
      <w:proofErr w:type="spellStart"/>
      <w:r>
        <w:rPr>
          <w:rStyle w:val="Ninguno"/>
        </w:rPr>
        <w:t>Otari</w:t>
      </w:r>
      <w:proofErr w:type="spellEnd"/>
      <w:r>
        <w:rPr>
          <w:rStyle w:val="Ninguno"/>
        </w:rPr>
        <w:t xml:space="preserve">, empresa </w:t>
      </w:r>
      <w:proofErr w:type="spellStart"/>
      <w:r>
        <w:rPr>
          <w:rStyle w:val="Ninguno"/>
        </w:rPr>
        <w:t>irundarra</w:t>
      </w:r>
      <w:proofErr w:type="spellEnd"/>
      <w:r>
        <w:rPr>
          <w:rStyle w:val="Ninguno"/>
        </w:rPr>
        <w:t xml:space="preserve"> que trabaja en el campo del tratamiento de aguas industriales, ha resaltado el interés de la iniciativa “ya que está muy en línea con nuestras necesidades y nos puede ayudar a afrontar ideas y proyectos que tenemos en mente”.</w:t>
      </w:r>
    </w:p>
    <w:p w:rsidR="009D3BB2" w:rsidRDefault="00000000">
      <w:pPr>
        <w:pStyle w:val="CuerpoA"/>
        <w:spacing w:after="120"/>
      </w:pPr>
      <w:r>
        <w:rPr>
          <w:rStyle w:val="Ninguno"/>
        </w:rPr>
        <w:t xml:space="preserve">Bidasoa </w:t>
      </w:r>
      <w:proofErr w:type="spellStart"/>
      <w:r>
        <w:rPr>
          <w:rStyle w:val="Ninguno"/>
        </w:rPr>
        <w:t>Gunea</w:t>
      </w:r>
      <w:proofErr w:type="spellEnd"/>
      <w:r>
        <w:rPr>
          <w:rStyle w:val="Ninguno"/>
        </w:rPr>
        <w:t xml:space="preserve"> es una iniciativa reciente de los Ayuntamientos de </w:t>
      </w:r>
      <w:proofErr w:type="spellStart"/>
      <w:r>
        <w:rPr>
          <w:rStyle w:val="Ninguno"/>
        </w:rPr>
        <w:t>Irun</w:t>
      </w:r>
      <w:proofErr w:type="spellEnd"/>
      <w:r>
        <w:rPr>
          <w:rStyle w:val="Ninguno"/>
        </w:rPr>
        <w:t xml:space="preserve"> y Hondarribia, puesta en marcha a través de Bidasoa activa con la colaboración de BIC Gipuzkoa, para apoyar a las personas emprendedoras e impulsar la creación de nuevas empresas y el</w:t>
      </w:r>
      <w:r>
        <w:t xml:space="preserve"> </w:t>
      </w:r>
      <w:proofErr w:type="spellStart"/>
      <w:r>
        <w:t>intraemprendimiento</w:t>
      </w:r>
      <w:proofErr w:type="spellEnd"/>
      <w:r>
        <w:t xml:space="preserve"> empresarial en la comarca de Bidasoa-</w:t>
      </w:r>
      <w:proofErr w:type="spellStart"/>
      <w:r>
        <w:t>Txingudi</w:t>
      </w:r>
      <w:proofErr w:type="spellEnd"/>
      <w:r>
        <w:t xml:space="preserve">. </w:t>
      </w:r>
    </w:p>
    <w:p w:rsidR="009D3BB2" w:rsidRDefault="00000000">
      <w:pPr>
        <w:pStyle w:val="CuerpoA"/>
        <w:spacing w:after="120"/>
        <w:rPr>
          <w:rStyle w:val="Ninguno"/>
          <w:rFonts w:ascii="Arial Unicode MS" w:hAnsi="Arial Unicode MS"/>
          <w:u w:color="00A2FF"/>
        </w:rPr>
      </w:pPr>
      <w:r>
        <w:rPr>
          <w:rStyle w:val="Ninguno"/>
          <w:u w:color="00A2FF"/>
        </w:rPr>
        <w:t xml:space="preserve">En opinión del presidente de Bidasoa activa, Miguel Ángel Páez, “Bidasoa </w:t>
      </w:r>
      <w:proofErr w:type="spellStart"/>
      <w:r>
        <w:rPr>
          <w:rStyle w:val="Ninguno"/>
          <w:u w:color="00A2FF"/>
        </w:rPr>
        <w:t>Gunea</w:t>
      </w:r>
      <w:proofErr w:type="spellEnd"/>
      <w:r>
        <w:rPr>
          <w:rStyle w:val="Ninguno"/>
          <w:u w:color="00A2FF"/>
        </w:rPr>
        <w:t xml:space="preserve"> es un ecosistema emprendedor de vanguardia, diseñado para propiciar la generación de ideas innovadoras y el desarrollo de proyectos empresariales. Buscamos apoyar a aquellas personas que tengan una idea de negocio, pero también queremos fomentar la innovación interna de las empresas facilitando el acceso a nuevas oportunidades de negocio”</w:t>
      </w:r>
    </w:p>
    <w:p w:rsidR="009D3BB2" w:rsidRDefault="00000000">
      <w:pPr>
        <w:pStyle w:val="CuerpoA"/>
        <w:spacing w:after="120"/>
        <w:rPr>
          <w:rStyle w:val="Ninguno"/>
          <w:rFonts w:ascii="Arial Unicode MS" w:hAnsi="Arial Unicode MS"/>
          <w:u w:color="00A2FF"/>
        </w:rPr>
      </w:pPr>
      <w:r>
        <w:rPr>
          <w:rStyle w:val="Ninguno"/>
          <w:u w:color="00A2FF"/>
        </w:rPr>
        <w:t xml:space="preserve">Por su parte, </w:t>
      </w:r>
      <w:proofErr w:type="spellStart"/>
      <w:r>
        <w:rPr>
          <w:rStyle w:val="Ninguno"/>
          <w:u w:color="00A2FF"/>
        </w:rPr>
        <w:t>Maria</w:t>
      </w:r>
      <w:proofErr w:type="spellEnd"/>
      <w:r>
        <w:rPr>
          <w:rStyle w:val="Ninguno"/>
          <w:u w:color="00A2FF"/>
        </w:rPr>
        <w:t xml:space="preserve"> Serrano, vicepresidenta de Bidasoa activa opina que “el emprendimiento no solo es fundamental para el crecimiento económico, sino que también es una fuente de creación de empleo, innovación y progreso en nuestro territorio”.</w:t>
      </w:r>
    </w:p>
    <w:p w:rsidR="009D3BB2" w:rsidRDefault="00000000">
      <w:pPr>
        <w:pStyle w:val="CuerpoA"/>
        <w:spacing w:after="120"/>
        <w:rPr>
          <w:rStyle w:val="Ninguno"/>
          <w:rFonts w:ascii="Arial Unicode MS" w:hAnsi="Arial Unicode MS"/>
        </w:rPr>
      </w:pPr>
      <w:r>
        <w:rPr>
          <w:rStyle w:val="Ninguno"/>
          <w:b/>
          <w:bCs/>
        </w:rPr>
        <w:t>Bidasoa activa: Impulsando el desarrollo económico y generando oportunidades</w:t>
      </w:r>
    </w:p>
    <w:p w:rsidR="009D3BB2" w:rsidRDefault="00000000">
      <w:pPr>
        <w:pStyle w:val="CuerpoA"/>
        <w:spacing w:after="120"/>
      </w:pPr>
      <w:r>
        <w:rPr>
          <w:rStyle w:val="Ninguno"/>
        </w:rPr>
        <w:lastRenderedPageBreak/>
        <w:t xml:space="preserve">Bidasoa activa es una entidad impulsada por los ayuntamientos de </w:t>
      </w:r>
      <w:proofErr w:type="spellStart"/>
      <w:r>
        <w:rPr>
          <w:rStyle w:val="Ninguno"/>
        </w:rPr>
        <w:t>Irun</w:t>
      </w:r>
      <w:proofErr w:type="spellEnd"/>
      <w:r>
        <w:rPr>
          <w:rStyle w:val="Ninguno"/>
        </w:rPr>
        <w:t xml:space="preserve"> y Hondarribia </w:t>
      </w:r>
      <w:proofErr w:type="gramStart"/>
      <w:r>
        <w:rPr>
          <w:rStyle w:val="Ninguno"/>
        </w:rPr>
        <w:t>para  promover</w:t>
      </w:r>
      <w:proofErr w:type="gramEnd"/>
      <w:r>
        <w:rPr>
          <w:rStyle w:val="Ninguno"/>
        </w:rPr>
        <w:t xml:space="preserve"> el desarrollo económico y la generación de empleo en la comarca de Bidasoa. Su misión es impulsar el crecimiento empresarial, fomentar el empleo de calidad y mejorar la competitividad de las empresas locales. A </w:t>
      </w:r>
      <w:proofErr w:type="spellStart"/>
      <w:r>
        <w:rPr>
          <w:rStyle w:val="Ninguno"/>
        </w:rPr>
        <w:t>trav</w:t>
      </w:r>
      <w:proofErr w:type="spellEnd"/>
      <w:r>
        <w:rPr>
          <w:rStyle w:val="Ninguno"/>
          <w:lang w:val="fr-FR"/>
        </w:rPr>
        <w:t>é</w:t>
      </w:r>
      <w:r>
        <w:rPr>
          <w:rStyle w:val="Ninguno"/>
        </w:rPr>
        <w:t xml:space="preserve">s de iniciativas innovadoras y programas de apoyo, trabaja en colaboración con el sector empresarial y los diferentes actores del ecosistema laboral para crear un entorno favorable para el empleo y el emprendimiento. </w:t>
      </w:r>
    </w:p>
    <w:p w:rsidR="009D3BB2" w:rsidRDefault="00000000">
      <w:pPr>
        <w:pStyle w:val="CuerpoA"/>
        <w:spacing w:after="120"/>
      </w:pPr>
      <w:r>
        <w:rPr>
          <w:rStyle w:val="Ninguno"/>
        </w:rPr>
        <w:t xml:space="preserve">Su objetivo es contribuir al progreso económico y social, generando un impacto positivo en la comarca y mejorando la calidad de vida de sus habitantes. Sus principales áreas de actuación son, emprendimiento, competitividad e innovación, formación y empleo, observatorio urbano, turismo y el ámbito de actuación del </w:t>
      </w:r>
      <w:r>
        <w:rPr>
          <w:rStyle w:val="Ninguno"/>
          <w:lang w:val="pt-PT"/>
        </w:rPr>
        <w:t xml:space="preserve">Consorcio </w:t>
      </w:r>
      <w:proofErr w:type="spellStart"/>
      <w:r>
        <w:rPr>
          <w:rStyle w:val="Ninguno"/>
          <w:lang w:val="pt-PT"/>
        </w:rPr>
        <w:t>Transfronterizo</w:t>
      </w:r>
      <w:proofErr w:type="spellEnd"/>
      <w:r>
        <w:rPr>
          <w:rStyle w:val="Ninguno"/>
          <w:lang w:val="pt-PT"/>
        </w:rPr>
        <w:t xml:space="preserve"> </w:t>
      </w:r>
      <w:proofErr w:type="spellStart"/>
      <w:r>
        <w:rPr>
          <w:rStyle w:val="Ninguno"/>
          <w:lang w:val="pt-PT"/>
        </w:rPr>
        <w:t>Bidasoa</w:t>
      </w:r>
      <w:proofErr w:type="spellEnd"/>
      <w:r>
        <w:rPr>
          <w:rStyle w:val="Ninguno"/>
          <w:lang w:val="pt-PT"/>
        </w:rPr>
        <w:t xml:space="preserve"> </w:t>
      </w:r>
      <w:proofErr w:type="spellStart"/>
      <w:r>
        <w:rPr>
          <w:rStyle w:val="Ninguno"/>
          <w:lang w:val="pt-PT"/>
        </w:rPr>
        <w:t>Txingudi</w:t>
      </w:r>
      <w:proofErr w:type="spellEnd"/>
      <w:r>
        <w:rPr>
          <w:rStyle w:val="Ninguno"/>
        </w:rPr>
        <w:t>.</w:t>
      </w:r>
    </w:p>
    <w:sectPr w:rsidR="009D3BB2">
      <w:headerReference w:type="default" r:id="rId6"/>
      <w:footerReference w:type="default" r:id="rId7"/>
      <w:pgSz w:w="11900" w:h="16840"/>
      <w:pgMar w:top="2520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25E04" w:rsidRDefault="00025E04">
      <w:r>
        <w:separator/>
      </w:r>
    </w:p>
  </w:endnote>
  <w:endnote w:type="continuationSeparator" w:id="0">
    <w:p w:rsidR="00025E04" w:rsidRDefault="00025E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Helvetica Neue Thin">
    <w:panose1 w:val="020B0403020202020204"/>
    <w:charset w:val="00"/>
    <w:family w:val="swiss"/>
    <w:pitch w:val="variable"/>
    <w:sig w:usb0="E00002EF" w:usb1="5000205B" w:usb2="00000002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D3BB2" w:rsidRDefault="009D3BB2">
    <w:pPr>
      <w:pStyle w:val="Cabeceraypi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25E04" w:rsidRDefault="00025E04">
      <w:r>
        <w:separator/>
      </w:r>
    </w:p>
  </w:footnote>
  <w:footnote w:type="continuationSeparator" w:id="0">
    <w:p w:rsidR="00025E04" w:rsidRDefault="00025E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D3BB2" w:rsidRDefault="00000000">
    <w:pPr>
      <w:pStyle w:val="Cuerpo"/>
    </w:pPr>
    <w:r>
      <w:rPr>
        <w:noProof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715072</wp:posOffset>
          </wp:positionH>
          <wp:positionV relativeFrom="page">
            <wp:posOffset>427776</wp:posOffset>
          </wp:positionV>
          <wp:extent cx="738193" cy="712765"/>
          <wp:effectExtent l="0" t="0" r="0" b="0"/>
          <wp:wrapNone/>
          <wp:docPr id="1073741825" name="officeArt object" descr="Logotipo-Bidasoa-Activa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-Bidasoa-Activa.jpg" descr="Logotipo-Bidasoa-Activa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38193" cy="71276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152400" distB="152400" distL="152400" distR="152400" simplePos="0" relativeHeight="251659264" behindDoc="1" locked="0" layoutInCell="1" allowOverlap="1">
              <wp:simplePos x="0" y="0"/>
              <wp:positionH relativeFrom="page">
                <wp:posOffset>5205321</wp:posOffset>
              </wp:positionH>
              <wp:positionV relativeFrom="page">
                <wp:posOffset>522872</wp:posOffset>
              </wp:positionV>
              <wp:extent cx="1699567" cy="563474"/>
              <wp:effectExtent l="0" t="0" r="0" b="0"/>
              <wp:wrapNone/>
              <wp:docPr id="1073741826" name="officeArt object" descr="Prentsa Oharra • Nota de Prensa • Prentsa Oharra • Nota de Prensa • Prentsa Oharr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99567" cy="563474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 w:rsidR="009D3BB2" w:rsidRDefault="00000000">
                          <w:pPr>
                            <w:pStyle w:val="PoromisinA"/>
                            <w:tabs>
                              <w:tab w:val="left" w:pos="708"/>
                              <w:tab w:val="left" w:pos="1416"/>
                              <w:tab w:val="left" w:pos="2124"/>
                              <w:tab w:val="left" w:pos="2832"/>
                              <w:tab w:val="left" w:pos="3540"/>
                              <w:tab w:val="left" w:pos="4248"/>
                              <w:tab w:val="left" w:pos="4956"/>
                              <w:tab w:val="left" w:pos="5664"/>
                              <w:tab w:val="left" w:pos="6372"/>
                              <w:tab w:val="left" w:pos="7080"/>
                              <w:tab w:val="left" w:pos="7788"/>
                              <w:tab w:val="left" w:pos="8496"/>
                              <w:tab w:val="left" w:pos="9204"/>
                              <w:tab w:val="left" w:pos="9912"/>
                              <w:tab w:val="left" w:pos="10620"/>
                              <w:tab w:val="left" w:pos="11328"/>
                              <w:tab w:val="left" w:pos="12036"/>
                              <w:tab w:val="left" w:pos="12744"/>
                              <w:tab w:val="left" w:pos="13452"/>
                              <w:tab w:val="left" w:pos="14160"/>
                              <w:tab w:val="left" w:pos="14868"/>
                            </w:tabs>
                            <w:spacing w:before="0" w:line="240" w:lineRule="auto"/>
                            <w:rPr>
                              <w:rStyle w:val="Ninguno"/>
                              <w:b/>
                              <w:bCs/>
                              <w:spacing w:val="12"/>
                              <w:sz w:val="32"/>
                              <w:szCs w:val="32"/>
                              <w:u w:color="929292"/>
                            </w:rPr>
                          </w:pPr>
                          <w:proofErr w:type="spellStart"/>
                          <w:r>
                            <w:rPr>
                              <w:rStyle w:val="Ninguno"/>
                              <w:b/>
                              <w:bCs/>
                              <w:spacing w:val="12"/>
                              <w:sz w:val="32"/>
                              <w:szCs w:val="32"/>
                              <w:u w:color="929292"/>
                            </w:rPr>
                            <w:t>Prentsa</w:t>
                          </w:r>
                          <w:proofErr w:type="spellEnd"/>
                          <w:r>
                            <w:rPr>
                              <w:rStyle w:val="Ninguno"/>
                              <w:b/>
                              <w:bCs/>
                              <w:spacing w:val="12"/>
                              <w:sz w:val="32"/>
                              <w:szCs w:val="32"/>
                              <w:u w:color="92929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Style w:val="Ninguno"/>
                              <w:b/>
                              <w:bCs/>
                              <w:spacing w:val="12"/>
                              <w:sz w:val="32"/>
                              <w:szCs w:val="32"/>
                              <w:u w:color="929292"/>
                            </w:rPr>
                            <w:t>Oharra</w:t>
                          </w:r>
                          <w:proofErr w:type="spellEnd"/>
                        </w:p>
                        <w:p w:rsidR="009D3BB2" w:rsidRDefault="00000000">
                          <w:pPr>
                            <w:pStyle w:val="Subttulo"/>
                          </w:pPr>
                          <w:r>
                            <w:rPr>
                              <w:rStyle w:val="Ninguno"/>
                              <w:rFonts w:ascii="Helvetica Neue Thin" w:hAnsi="Helvetica Neue Thin"/>
                              <w:spacing w:val="-1"/>
                              <w:sz w:val="32"/>
                              <w:szCs w:val="32"/>
                              <w:u w:color="929292"/>
                              <w:lang w:val="pt-PT"/>
                              <w14:textOutline w14:w="12700" w14:cap="flat" w14:cmpd="sng" w14:algn="ctr">
                                <w14:noFill/>
                                <w14:prstDash w14:val="solid"/>
                                <w14:miter w14:lim="400000"/>
                              </w14:textOutline>
                            </w:rPr>
                            <w:t>Nota de Prensa</w:t>
                          </w:r>
                        </w:p>
                      </w:txbxContent>
                    </wps:txbx>
                    <wps:bodyPr wrap="square" lIns="50800" tIns="50800" rIns="50800" bIns="5080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type="#_x0000_t202" style="visibility:visible;position:absolute;margin-left:409.9pt;margin-top:41.2pt;width:133.8pt;height:44.4pt;z-index:-251657216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Por omisión A"/>
                      <w:tabs>
                        <w:tab w:val="left" w:pos="708"/>
                        <w:tab w:val="left" w:pos="1416"/>
                        <w:tab w:val="left" w:pos="2124"/>
                        <w:tab w:val="left" w:pos="2832"/>
                        <w:tab w:val="left" w:pos="3540"/>
                        <w:tab w:val="left" w:pos="4248"/>
                        <w:tab w:val="left" w:pos="4956"/>
                        <w:tab w:val="left" w:pos="5664"/>
                        <w:tab w:val="left" w:pos="6372"/>
                        <w:tab w:val="left" w:pos="7080"/>
                        <w:tab w:val="left" w:pos="7788"/>
                        <w:tab w:val="left" w:pos="8496"/>
                        <w:tab w:val="left" w:pos="9204"/>
                        <w:tab w:val="left" w:pos="9912"/>
                        <w:tab w:val="left" w:pos="10620"/>
                        <w:tab w:val="left" w:pos="11328"/>
                        <w:tab w:val="left" w:pos="12036"/>
                        <w:tab w:val="left" w:pos="12744"/>
                        <w:tab w:val="left" w:pos="13452"/>
                        <w:tab w:val="left" w:pos="14160"/>
                        <w:tab w:val="left" w:pos="14868"/>
                      </w:tabs>
                      <w:spacing w:before="0" w:line="240" w:lineRule="auto"/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  <w14:textOutline w14:w="12700" w14:cap="flat">
                          <w14:noFill/>
                          <w14:miter w14:lim="400000"/>
                        </w14:textOutline>
                      </w:rPr>
                    </w:pPr>
                    <w:r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  <w:rtl w:val="0"/>
                        <w:lang w:val="es-ES_tradnl"/>
                        <w14:textOutline w14:w="12700" w14:cap="flat">
                          <w14:noFill/>
                          <w14:miter w14:lim="400000"/>
                        </w14:textOutline>
                      </w:rPr>
                      <w:t>Prentsa Oharra</w:t>
                    </w:r>
                  </w:p>
                  <w:p>
                    <w:pPr>
                      <w:pStyle w:val="Subtítulo"/>
                    </w:pPr>
                    <w:r>
                      <w:rPr>
                        <w:rStyle w:val="Ninguno"/>
                        <w:rFonts w:ascii="Helvetica Neue Thin" w:hAnsi="Helvetica Neue Thin"/>
                        <w:spacing w:val="-1"/>
                        <w:sz w:val="32"/>
                        <w:szCs w:val="32"/>
                        <w:u w:color="929292"/>
                        <w:rtl w:val="0"/>
                        <w:lang w:val="pt-PT"/>
                        <w14:textOutline w14:w="12700" w14:cap="flat">
                          <w14:noFill/>
                          <w14:miter w14:lim="400000"/>
                        </w14:textOutline>
                      </w:rPr>
                      <w:t>Nota de Prensa</w:t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152400" distB="152400" distL="152400" distR="152400" simplePos="0" relativeHeight="251660288" behindDoc="1" locked="0" layoutInCell="1" allowOverlap="1">
              <wp:simplePos x="0" y="0"/>
              <wp:positionH relativeFrom="page">
                <wp:posOffset>5257193</wp:posOffset>
              </wp:positionH>
              <wp:positionV relativeFrom="page">
                <wp:posOffset>1127863</wp:posOffset>
              </wp:positionV>
              <wp:extent cx="1566083" cy="0"/>
              <wp:effectExtent l="0" t="0" r="0" b="0"/>
              <wp:wrapNone/>
              <wp:docPr id="1073741827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25400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7" style="visibility:visible;position:absolute;margin-left:414.0pt;margin-top:88.8pt;width:123.3pt;height:0.0pt;z-index:-251656192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2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152400" distB="152400" distL="152400" distR="152400" simplePos="0" relativeHeight="251661312" behindDoc="1" locked="0" layoutInCell="1" allowOverlap="1">
              <wp:simplePos x="0" y="0"/>
              <wp:positionH relativeFrom="page">
                <wp:posOffset>5257193</wp:posOffset>
              </wp:positionH>
              <wp:positionV relativeFrom="page">
                <wp:posOffset>442062</wp:posOffset>
              </wp:positionV>
              <wp:extent cx="1566083" cy="0"/>
              <wp:effectExtent l="0" t="0" r="0" b="0"/>
              <wp:wrapNone/>
              <wp:docPr id="1073741828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3175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8" style="visibility:visible;position:absolute;margin-left:414.0pt;margin-top:34.8pt;width:123.3pt;height:0.0pt;z-index:-251655168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0.2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4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3BB2"/>
    <w:rsid w:val="00025E04"/>
    <w:rsid w:val="009D3BB2"/>
    <w:rsid w:val="00AC0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312B701"/>
  <w15:docId w15:val="{F75085DC-396B-874D-BC30-973E6D9D2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s-ES" w:eastAsia="es-ES_tradn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uerpo">
    <w:name w:val="Cuerpo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oromisinA">
    <w:name w:val="Por omisión A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u w:color="000000"/>
      <w:lang w:val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Pr>
      <w:lang w:val="es-ES_tradnl"/>
    </w:rPr>
  </w:style>
  <w:style w:type="paragraph" w:styleId="Subttulo">
    <w:name w:val="Subtitle"/>
    <w:next w:val="Cuerpo"/>
    <w:uiPriority w:val="11"/>
    <w:qFormat/>
    <w:pPr>
      <w:keepNext/>
    </w:pPr>
    <w:rPr>
      <w:rFonts w:ascii="Helvetica Neue" w:hAnsi="Helvetica Neue" w:cs="Arial Unicode MS"/>
      <w:color w:val="000000"/>
      <w:sz w:val="40"/>
      <w:szCs w:val="40"/>
      <w:lang w:val="pt-PT"/>
      <w14:textOutline w14:w="0" w14:cap="flat" w14:cmpd="sng" w14:algn="ctr">
        <w14:noFill/>
        <w14:prstDash w14:val="solid"/>
        <w14:bevel/>
      </w14:textOutline>
    </w:rPr>
  </w:style>
  <w:style w:type="paragraph" w:customStyle="1" w:styleId="Cabeceraypie">
    <w:name w:val="Cabecera y pie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rPr>
      <w:rFonts w:ascii="Helvetica Neue" w:hAnsi="Helvetica Neue" w:cs="Arial Unicode MS"/>
      <w:color w:val="000000"/>
      <w:sz w:val="22"/>
      <w:szCs w:val="22"/>
      <w:u w:color="000000"/>
      <w:lang w:val="es-ES_tradnl"/>
      <w14:textOutline w14:w="12700" w14:cap="flat" w14:cmpd="sng" w14:algn="ctr">
        <w14:noFill/>
        <w14:prstDash w14:val="solid"/>
        <w14:miter w14:lim="4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621</Words>
  <Characters>3416</Characters>
  <Application>Microsoft Office Word</Application>
  <DocSecurity>0</DocSecurity>
  <Lines>28</Lines>
  <Paragraphs>8</Paragraphs>
  <ScaleCrop>false</ScaleCrop>
  <Company/>
  <LinksUpToDate>false</LinksUpToDate>
  <CharactersWithSpaces>4029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2023-05-24T17:28:00Z</dcterms:created>
  <dcterms:modified xsi:type="dcterms:W3CDTF">2023-05-24T17:28:00Z</dcterms:modified>
</cp:coreProperties>
</file>